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B8BC5" w14:textId="77777777" w:rsidR="00794B2D" w:rsidRDefault="00794B2D" w:rsidP="00794B2D">
      <w:pPr>
        <w:rPr>
          <w:rFonts w:ascii="HG丸ｺﾞｼｯｸM-PRO" w:eastAsia="HG丸ｺﾞｼｯｸM-PRO" w:hAnsi="HG丸ｺﾞｼｯｸM-PRO"/>
        </w:rPr>
      </w:pPr>
      <w:r w:rsidRPr="00EF3D09">
        <w:rPr>
          <w:rFonts w:ascii="HG丸ｺﾞｼｯｸM-PRO" w:eastAsia="HG丸ｺﾞｼｯｸM-PRO" w:hAnsi="HG丸ｺﾞｼｯｸM-PRO"/>
        </w:rPr>
        <w:t>【論点</w:t>
      </w:r>
      <w:r w:rsidRPr="00EF3D09">
        <w:rPr>
          <w:rFonts w:ascii="HG丸ｺﾞｼｯｸM-PRO" w:eastAsia="HG丸ｺﾞｼｯｸM-PRO" w:hAnsi="HG丸ｺﾞｼｯｸM-PRO" w:hint="eastAsia"/>
        </w:rPr>
        <w:t>】</w:t>
      </w:r>
    </w:p>
    <w:p w14:paraId="1D5DCB4D" w14:textId="77777777"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59264" behindDoc="0" locked="0" layoutInCell="1" allowOverlap="1" wp14:anchorId="17E92A56" wp14:editId="6709DE7C">
                <wp:simplePos x="0" y="0"/>
                <wp:positionH relativeFrom="column">
                  <wp:posOffset>333375</wp:posOffset>
                </wp:positionH>
                <wp:positionV relativeFrom="paragraph">
                  <wp:posOffset>38100</wp:posOffset>
                </wp:positionV>
                <wp:extent cx="5536565" cy="876300"/>
                <wp:effectExtent l="0" t="0" r="26035" b="38100"/>
                <wp:wrapNone/>
                <wp:docPr id="60" name="グループ化 60"/>
                <wp:cNvGraphicFramePr/>
                <a:graphic xmlns:a="http://schemas.openxmlformats.org/drawingml/2006/main">
                  <a:graphicData uri="http://schemas.microsoft.com/office/word/2010/wordprocessingGroup">
                    <wpg:wgp>
                      <wpg:cNvGrpSpPr/>
                      <wpg:grpSpPr>
                        <a:xfrm>
                          <a:off x="0" y="0"/>
                          <a:ext cx="5536565" cy="876300"/>
                          <a:chOff x="0" y="0"/>
                          <a:chExt cx="5536565" cy="638175"/>
                        </a:xfrm>
                      </wpg:grpSpPr>
                      <wps:wsp>
                        <wps:cNvPr id="61" name="角丸四角形 61"/>
                        <wps:cNvSpPr/>
                        <wps:spPr>
                          <a:xfrm>
                            <a:off x="0" y="0"/>
                            <a:ext cx="5536565" cy="6381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14300" y="95250"/>
                            <a:ext cx="5248275" cy="419100"/>
                          </a:xfrm>
                          <a:prstGeom prst="rect">
                            <a:avLst/>
                          </a:prstGeom>
                          <a:solidFill>
                            <a:sysClr val="window" lastClr="FFFFFF"/>
                          </a:solidFill>
                          <a:ln w="6350">
                            <a:noFill/>
                          </a:ln>
                          <a:effectLst/>
                        </wps:spPr>
                        <wps:txbx>
                          <w:txbxContent>
                            <w:p w14:paraId="484A56CF" w14:textId="77777777" w:rsidR="00A35989" w:rsidRPr="00EF3D09" w:rsidRDefault="00A35989" w:rsidP="00794B2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実際の論文をみて、教育学の論文における主張とエビデンスについて考える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0" o:spid="_x0000_s1026" style="position:absolute;left:0;text-align:left;margin-left:26.25pt;margin-top:3pt;width:435.95pt;height:69pt;z-index:251659264;mso-width-relative:margin;mso-height-relative:margin" coordsize="5536565,638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J7FnYDAAAyCQAADgAAAGRycy9lMm9Eb2MueG1s7FZNb9w2EL0H6H8gdK+1Wu/KtuB14NqxEcBI&#10;jNpBzjRFfQASyZBca52jFwhyyCmH5JCeeumhKJJjAiS/RjXQn9FHSrt2bQcBXLSn7IFLcobDmTfz&#10;htq8P6srcsq1KaWYBNHKICBcMJmWIp8ET473flwPiLFUpLSSgk+CM26C+1s/3NtsVMKHspBVyjWB&#10;EWGSRk2CwlqVhKFhBa+pWZGKCwgzqWtqsdR5mGrawHpdhcPBIA4bqVOlJePGYHe3EwZb3n6WcWYf&#10;Z5nhllSTAL5ZP2o/nrgx3NqkSa6pKkrWu0Hv4EVNS4FLl6Z2qaVkqssbpuqSaWlkZleYrEOZZSXj&#10;PgZEEw2uRbOv5VT5WPKkydUSJkB7Dac7m2WPTg81KdNJEAMeQWvkqD3/0M5/b+ef2/nbi1dvCCSA&#10;qVF5Au19rY7Uoe438m7lIp9lunb/iInMPMBnS4D5zBKGzfF4NR7H44AwyNbX4tVBnwFWIE03jrHi&#10;wW0H49X1aG3sfAoX14bOu6UzjUIxmUu8zL/D66igivs0GIfAAq9ogddfv73+8+PHi3fvMLn48iuJ&#10;ow4vr70EyyQGuN0JqVsCponSxu5zWRM3mQQoFZH+jHr3ZUhPD4ztAFrouZuF3CurCvs0qQRpQNiN&#10;wRh5ZxTUyypqMa0VisGIPCC0ysFpZrU3aWRVpu64O23OzE6lySkFrcDGVDbHyHFAKmosBEi8//U5&#10;+sdR588uNUV32It6tUo409yztnffZbKDzc1OZHoG9LXsaGwU2yth7QCXHlIN3iIU9CL7GENWScQn&#10;+1lACqmf37bv9FEekAakQR9A7M+mVHPE8lCgcDai0cg1Dr8YjdeGWOirkpOrEjGtdyQwQW3AOz91&#10;+rZaTDMt66doWdvuVoioYLi7Q7lf7NiuP6HpMb697dXQLBS1B+JIMWfc4eRwPJ49pVr1FWCRgUdy&#10;Uaw0uVYDna47KeT21Mqs9AVyiSvo1BPHkf3/YNBwwaB2/qI9/6M9/9TOX5J2/ks7n7fn77Em8fAa&#10;l4id/STRSpYc+wqromjkugtBo9kYD1HkvuqXjWg4Wh+ih/hGNIo2oq4RLfvJTXp9g1m+jr/OjivM&#10;2PO/25jRUTJehbNdmnqywqtvUsPOTmaI8DKb31ny37PEvzp4mP1D1H9EuJf/6tqz6vJTZ+tvAAAA&#10;//8DAFBLAwQUAAYACAAAACEA1mluEd8AAAAIAQAADwAAAGRycy9kb3ducmV2LnhtbEyPQUvDQBCF&#10;74L/YRnBm90kJkVjNqUU9VQEW0G8bbPTJDQ7G7LbJP33jid7HN7Hm+8Vq9l2YsTBt44UxIsIBFLl&#10;TEu1gq/928MTCB80Gd05QgUX9LAqb28KnRs30SeOu1ALLiGfawVNCH0upa8atNovXI/E2dENVgc+&#10;h1qaQU9cbjuZRNFSWt0Sf2h0j5sGq9PubBW8T3paP8av4/Z03Fx+9tnH9zZGpe7v5vULiIBz+Ifh&#10;T5/VoWSngzuT8aJTkCUZkwqWvIjj5yRNQRyYS9MIZFnI6wHlLwAAAP//AwBQSwECLQAUAAYACAAA&#10;ACEA5JnDwPsAAADhAQAAEwAAAAAAAAAAAAAAAAAAAAAAW0NvbnRlbnRfVHlwZXNdLnhtbFBLAQIt&#10;ABQABgAIAAAAIQAjsmrh1wAAAJQBAAALAAAAAAAAAAAAAAAAACwBAABfcmVscy8ucmVsc1BLAQIt&#10;ABQABgAIAAAAIQChQnsWdgMAADIJAAAOAAAAAAAAAAAAAAAAACwCAABkcnMvZTJvRG9jLnhtbFBL&#10;AQItABQABgAIAAAAIQDWaW4R3wAAAAgBAAAPAAAAAAAAAAAAAAAAAM4FAABkcnMvZG93bnJldi54&#10;bWxQSwUGAAAAAAQABADzAAAA2gYAAAAA&#10;">
                <v:roundrect id="角丸四角形 61" o:spid="_x0000_s1027" style="position:absolute;width:5536565;height:6381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ptywgAA&#10;ANsAAAAPAAAAZHJzL2Rvd25yZXYueG1sRI9Ba8JAFITvBf/D8gQvQTcK1RBdxRYEr9V4f2Sf2cXs&#10;25DdmrS/vlso9DjMzDfM7jC6VjypD9azguUiB0Fce225UVBdT/MCRIjIGlvPpOCLAhz2k5cdltoP&#10;/EHPS2xEgnAoUYGJsSulDLUhh2HhO+Lk3X3vMCbZN1L3OCS4a+Uqz9fSoeW0YLCjd0P14/LpFIxX&#10;W5wza7Pbd/XavPFpyDZ+UGo2HY9bEJHG+B/+a5+1gvUSfr+kHyD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em3LCAAAA2wAAAA8AAAAAAAAAAAAAAAAAlwIAAGRycy9kb3du&#10;cmV2LnhtbFBLBQYAAAAABAAEAPUAAACGAwAAAAA=&#10;" filled="f" strokecolor="windowText" strokeweight="1.5pt"/>
                <v:shapetype id="_x0000_t202" coordsize="21600,21600" o:spt="202" path="m0,0l0,21600,21600,21600,21600,0xe">
                  <v:stroke joinstyle="miter"/>
                  <v:path gradientshapeok="t" o:connecttype="rect"/>
                </v:shapetype>
                <v:shape id="テキスト ボックス 62" o:spid="_x0000_s1028" type="#_x0000_t202" style="position:absolute;left:114300;top:95250;width:5248275;height:419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xSPwwAA&#10;ANsAAAAPAAAAZHJzL2Rvd25yZXYueG1sRI9Ba8JAFITvQv/D8oTedGMoqaSuIiEt1VtVsMdH9pkE&#10;s29Ddpuk/94VBI/DzHzDrDajaURPnastK1jMIxDEhdU1lwpOx8/ZEoTzyBoby6Tgnxxs1i+TFaba&#10;DvxD/cGXIkDYpaig8r5NpXRFRQbd3LbEwbvYzqAPsiul7nAIcNPIOIoSabDmsFBhS1lFxfXwZxS8&#10;Lbm/7n735lxnLjf2PT5j/qXU63TcfoDwNPpn+NH+1gqSGO5fwg+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VxSPwwAAANsAAAAPAAAAAAAAAAAAAAAAAJcCAABkcnMvZG93&#10;bnJldi54bWxQSwUGAAAAAAQABAD1AAAAhwMAAAAA&#10;" fillcolor="window" stroked="f" strokeweight=".5pt">
                  <v:textbox>
                    <w:txbxContent>
                      <w:p w:rsidR="00A35989" w:rsidRPr="00EF3D09" w:rsidRDefault="00A35989" w:rsidP="00794B2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実際の論文をみて、教育学の論文における主張とエビデンスについて考える</w:t>
                        </w:r>
                      </w:p>
                    </w:txbxContent>
                  </v:textbox>
                </v:shape>
              </v:group>
            </w:pict>
          </mc:Fallback>
        </mc:AlternateContent>
      </w:r>
    </w:p>
    <w:p w14:paraId="324D0E6F" w14:textId="77777777" w:rsidR="00794B2D" w:rsidRDefault="00794B2D" w:rsidP="00794B2D">
      <w:pPr>
        <w:rPr>
          <w:rFonts w:ascii="HG丸ｺﾞｼｯｸM-PRO" w:eastAsia="HG丸ｺﾞｼｯｸM-PRO" w:hAnsi="HG丸ｺﾞｼｯｸM-PRO"/>
        </w:rPr>
      </w:pPr>
    </w:p>
    <w:p w14:paraId="512F7A69" w14:textId="77777777" w:rsidR="00794B2D" w:rsidRDefault="00794B2D" w:rsidP="00794B2D">
      <w:pPr>
        <w:rPr>
          <w:rFonts w:ascii="HG丸ｺﾞｼｯｸM-PRO" w:eastAsia="HG丸ｺﾞｼｯｸM-PRO" w:hAnsi="HG丸ｺﾞｼｯｸM-PRO"/>
        </w:rPr>
      </w:pPr>
    </w:p>
    <w:p w14:paraId="2577EFEE" w14:textId="77777777" w:rsidR="00794B2D" w:rsidRDefault="00794B2D" w:rsidP="00794B2D">
      <w:pPr>
        <w:rPr>
          <w:rFonts w:ascii="HG丸ｺﾞｼｯｸM-PRO" w:eastAsia="HG丸ｺﾞｼｯｸM-PRO" w:hAnsi="HG丸ｺﾞｼｯｸM-PRO"/>
        </w:rPr>
      </w:pPr>
    </w:p>
    <w:p w14:paraId="053C3284" w14:textId="77777777" w:rsidR="000E4EA4" w:rsidRDefault="000E4EA4" w:rsidP="00794B2D">
      <w:pPr>
        <w:rPr>
          <w:rFonts w:ascii="HG丸ｺﾞｼｯｸM-PRO" w:eastAsia="HG丸ｺﾞｼｯｸM-PRO" w:hAnsi="HG丸ｺﾞｼｯｸM-PRO"/>
        </w:rPr>
      </w:pPr>
    </w:p>
    <w:p w14:paraId="716A9624" w14:textId="77777777" w:rsidR="00400E81" w:rsidRDefault="00744C62"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000E4EA4">
        <w:rPr>
          <w:rFonts w:ascii="HG丸ｺﾞｼｯｸM-PRO" w:eastAsia="HG丸ｺﾞｼｯｸM-PRO" w:hAnsi="HG丸ｺﾞｼｯｸM-PRO" w:hint="eastAsia"/>
        </w:rPr>
        <w:t>エビデンスは論文が読者に受け入れられるかどうかを左右するもの</w:t>
      </w:r>
    </w:p>
    <w:p w14:paraId="210ED904" w14:textId="77777777" w:rsidR="00400E81" w:rsidRDefault="00400E81"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shd w:val="pct15" w:color="auto" w:fill="FFFFFF"/>
        </w:rPr>
        <w:t>If they don’t believe the evidence, they’ll reject the reasons, and with them the claim.</w:t>
      </w:r>
      <w:r>
        <w:rPr>
          <w:rFonts w:ascii="HG丸ｺﾞｼｯｸM-PRO" w:eastAsia="HG丸ｺﾞｼｯｸM-PRO" w:hAnsi="HG丸ｺﾞｼｯｸM-PRO"/>
        </w:rPr>
        <w:t>(p.130)</w:t>
      </w:r>
    </w:p>
    <w:p w14:paraId="51A844B2" w14:textId="77777777" w:rsidR="00400E81" w:rsidRDefault="000E4EA4"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00400E81">
        <w:rPr>
          <w:rFonts w:ascii="HG丸ｺﾞｼｯｸM-PRO" w:eastAsia="HG丸ｺﾞｼｯｸM-PRO" w:hAnsi="HG丸ｺﾞｼｯｸM-PRO" w:hint="eastAsia"/>
        </w:rPr>
        <w:t>もし彼ら（読者）がエビデンスを信じなかったら、彼らは理由を受け付けず、ひいては主張も受け付けないだろう。</w:t>
      </w:r>
    </w:p>
    <w:p w14:paraId="3F603D20" w14:textId="77777777" w:rsidR="008F0542" w:rsidRDefault="008F0542"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005B71E8">
        <w:rPr>
          <w:rFonts w:ascii="HG丸ｺﾞｼｯｸM-PRO" w:eastAsia="HG丸ｺﾞｼｯｸM-PRO" w:hAnsi="HG丸ｺﾞｼｯｸM-PRO" w:hint="eastAsia"/>
        </w:rPr>
        <w:t>論文執筆の際にエビデンスは重要な役割を担っており、</w:t>
      </w:r>
      <w:r w:rsidR="000E4EA4">
        <w:rPr>
          <w:rFonts w:ascii="HG丸ｺﾞｼｯｸM-PRO" w:eastAsia="HG丸ｺﾞｼｯｸM-PRO" w:hAnsi="HG丸ｺﾞｼｯｸM-PRO"/>
        </w:rPr>
        <w:t>Chapter9</w:t>
      </w:r>
      <w:r w:rsidR="000E4EA4">
        <w:rPr>
          <w:rFonts w:ascii="HG丸ｺﾞｼｯｸM-PRO" w:eastAsia="HG丸ｺﾞｼｯｸM-PRO" w:hAnsi="HG丸ｺﾞｼｯｸM-PRO" w:hint="eastAsia"/>
        </w:rPr>
        <w:t>後半で記述されている実際の取り組み方を見てみると…</w:t>
      </w:r>
    </w:p>
    <w:p w14:paraId="6A15D402" w14:textId="77777777" w:rsidR="008F0542" w:rsidRPr="005B71E8" w:rsidRDefault="008F0542" w:rsidP="00794B2D">
      <w:pPr>
        <w:rPr>
          <w:rFonts w:ascii="HG丸ｺﾞｼｯｸM-PRO" w:eastAsia="HG丸ｺﾞｼｯｸM-PRO" w:hAnsi="HG丸ｺﾞｼｯｸM-PRO"/>
          <w:bdr w:val="single" w:sz="4" w:space="0" w:color="auto"/>
        </w:rPr>
      </w:pPr>
    </w:p>
    <w:p w14:paraId="62733355" w14:textId="77777777" w:rsidR="00744C62" w:rsidRDefault="00400E81"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00744C62">
        <w:rPr>
          <w:rFonts w:ascii="HG丸ｺﾞｼｯｸM-PRO" w:eastAsia="HG丸ｺﾞｼｯｸM-PRO" w:hAnsi="HG丸ｺﾞｼｯｸM-PRO" w:hint="eastAsia"/>
        </w:rPr>
        <w:t>何が正確</w:t>
      </w:r>
      <w:r w:rsidR="005B71E8">
        <w:rPr>
          <w:rFonts w:ascii="HG丸ｺﾞｼｯｸM-PRO" w:eastAsia="HG丸ｺﾞｼｯｸM-PRO" w:hAnsi="HG丸ｺﾞｼｯｸM-PRO"/>
        </w:rPr>
        <w:t>(precise)</w:t>
      </w:r>
      <w:r w:rsidR="00744C62">
        <w:rPr>
          <w:rFonts w:ascii="HG丸ｺﾞｼｯｸM-PRO" w:eastAsia="HG丸ｺﾞｼｯｸM-PRO" w:hAnsi="HG丸ｺﾞｼｯｸM-PRO" w:hint="eastAsia"/>
        </w:rPr>
        <w:t>かは研究分野によって違う</w:t>
      </w:r>
      <w:r w:rsidR="005B71E8">
        <w:rPr>
          <w:rFonts w:ascii="HG丸ｺﾞｼｯｸM-PRO" w:eastAsia="HG丸ｺﾞｼｯｸM-PRO" w:hAnsi="HG丸ｺﾞｼｯｸM-PRO" w:hint="eastAsia"/>
        </w:rPr>
        <w:t xml:space="preserve">　</w:t>
      </w:r>
      <w:r w:rsidR="005B71E8">
        <w:rPr>
          <w:rFonts w:ascii="HG丸ｺﾞｼｯｸM-PRO" w:eastAsia="HG丸ｺﾞｼｯｸM-PRO" w:hAnsi="HG丸ｺﾞｼｯｸM-PRO"/>
        </w:rPr>
        <w:t>(9.4.2</w:t>
      </w:r>
      <w:r w:rsidR="005B71E8">
        <w:rPr>
          <w:rFonts w:ascii="HG丸ｺﾞｼｯｸM-PRO" w:eastAsia="HG丸ｺﾞｼｯｸM-PRO" w:hAnsi="HG丸ｺﾞｼｯｸM-PRO" w:hint="eastAsia"/>
        </w:rPr>
        <w:t>、</w:t>
      </w:r>
      <w:r w:rsidR="005B71E8">
        <w:rPr>
          <w:rFonts w:ascii="HG丸ｺﾞｼｯｸM-PRO" w:eastAsia="HG丸ｺﾞｼｯｸM-PRO" w:hAnsi="HG丸ｺﾞｼｯｸM-PRO"/>
        </w:rPr>
        <w:t>9.4.3</w:t>
      </w:r>
      <w:r w:rsidR="005B71E8">
        <w:rPr>
          <w:rFonts w:ascii="HG丸ｺﾞｼｯｸM-PRO" w:eastAsia="HG丸ｺﾞｼｯｸM-PRO" w:hAnsi="HG丸ｺﾞｼｯｸM-PRO" w:hint="eastAsia"/>
        </w:rPr>
        <w:t>より</w:t>
      </w:r>
      <w:r w:rsidR="005B71E8">
        <w:rPr>
          <w:rFonts w:ascii="HG丸ｺﾞｼｯｸM-PRO" w:eastAsia="HG丸ｺﾞｼｯｸM-PRO" w:hAnsi="HG丸ｺﾞｼｯｸM-PRO"/>
        </w:rPr>
        <w:t>)</w:t>
      </w:r>
    </w:p>
    <w:p w14:paraId="78851F37" w14:textId="77777777"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00744C62">
        <w:rPr>
          <w:rFonts w:ascii="HG丸ｺﾞｼｯｸM-PRO" w:eastAsia="HG丸ｺﾞｼｯｸM-PRO" w:hAnsi="HG丸ｺﾞｼｯｸM-PRO"/>
          <w:shd w:val="pct15" w:color="auto" w:fill="FFFFFF"/>
        </w:rPr>
        <w:t>Your reader want you to state your evidence precisely.</w:t>
      </w:r>
      <w:r>
        <w:rPr>
          <w:rFonts w:ascii="HG丸ｺﾞｼｯｸM-PRO" w:eastAsia="HG丸ｺﾞｼｯｸM-PRO" w:hAnsi="HG丸ｺﾞｼｯｸM-PRO" w:hint="eastAsia"/>
        </w:rPr>
        <w:t>（</w:t>
      </w:r>
      <w:r w:rsidR="00744C62">
        <w:rPr>
          <w:rFonts w:ascii="HG丸ｺﾞｼｯｸM-PRO" w:eastAsia="HG丸ｺﾞｼｯｸM-PRO" w:hAnsi="HG丸ｺﾞｼｯｸM-PRO" w:hint="eastAsia"/>
        </w:rPr>
        <w:t>p.1</w:t>
      </w:r>
      <w:r w:rsidR="00744C62">
        <w:rPr>
          <w:rFonts w:ascii="HG丸ｺﾞｼｯｸM-PRO" w:eastAsia="HG丸ｺﾞｼｯｸM-PRO" w:hAnsi="HG丸ｺﾞｼｯｸM-PRO"/>
        </w:rPr>
        <w:t>37</w:t>
      </w:r>
      <w:r>
        <w:rPr>
          <w:rFonts w:ascii="HG丸ｺﾞｼｯｸM-PRO" w:eastAsia="HG丸ｺﾞｼｯｸM-PRO" w:hAnsi="HG丸ｺﾞｼｯｸM-PRO" w:hint="eastAsia"/>
        </w:rPr>
        <w:t>）</w:t>
      </w:r>
    </w:p>
    <w:p w14:paraId="260B6AEE" w14:textId="77777777" w:rsidR="00794B2D" w:rsidRDefault="008F0542"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Pr="005B71E8">
        <w:rPr>
          <w:rFonts w:ascii="HG丸ｺﾞｼｯｸM-PRO" w:eastAsia="HG丸ｺﾞｼｯｸM-PRO" w:hAnsi="HG丸ｺﾞｼｯｸM-PRO"/>
        </w:rPr>
        <w:t>あなたの読者はあなたのエビデンスを明確に述べることを求めている。</w:t>
      </w:r>
    </w:p>
    <w:p w14:paraId="1F12004F" w14:textId="77777777" w:rsidR="00794B2D"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44C62">
        <w:rPr>
          <w:rFonts w:ascii="HG丸ｺﾞｼｯｸM-PRO" w:eastAsia="HG丸ｺﾞｼｯｸM-PRO" w:hAnsi="HG丸ｺﾞｼｯｸM-PRO"/>
          <w:shd w:val="pct15" w:color="auto" w:fill="FFFFFF"/>
        </w:rPr>
        <w:t>What counts as preci</w:t>
      </w:r>
      <w:r w:rsidR="000B1666">
        <w:rPr>
          <w:rFonts w:ascii="HG丸ｺﾞｼｯｸM-PRO" w:eastAsia="HG丸ｺﾞｼｯｸM-PRO" w:hAnsi="HG丸ｺﾞｼｯｸM-PRO"/>
          <w:shd w:val="pct15" w:color="auto" w:fill="FFFFFF"/>
        </w:rPr>
        <w:t>se, however, differs by field.</w:t>
      </w:r>
      <w:r w:rsidR="000B1666">
        <w:rPr>
          <w:rFonts w:ascii="HG丸ｺﾞｼｯｸM-PRO" w:eastAsia="HG丸ｺﾞｼｯｸM-PRO" w:hAnsi="HG丸ｺﾞｼｯｸM-PRO" w:hint="eastAsia"/>
        </w:rPr>
        <w:t>（※詳細はレジュメ参照）</w:t>
      </w:r>
    </w:p>
    <w:p w14:paraId="10A293FE" w14:textId="77777777" w:rsidR="005B71E8" w:rsidRPr="005B71E8" w:rsidRDefault="005B71E8" w:rsidP="00794B2D">
      <w:pPr>
        <w:rPr>
          <w:rFonts w:ascii="HG丸ｺﾞｼｯｸM-PRO" w:eastAsia="HG丸ｺﾞｼｯｸM-PRO" w:hAnsi="HG丸ｺﾞｼｯｸM-PRO"/>
        </w:rPr>
      </w:pPr>
      <w:r>
        <w:rPr>
          <w:rFonts w:ascii="HG丸ｺﾞｼｯｸM-PRO" w:eastAsia="HG丸ｺﾞｼｯｸM-PRO" w:hAnsi="HG丸ｺﾞｼｯｸM-PRO" w:hint="eastAsia"/>
        </w:rPr>
        <w:t>…</w:t>
      </w:r>
      <w:r w:rsidRPr="005B71E8">
        <w:rPr>
          <w:rFonts w:ascii="HG丸ｺﾞｼｯｸM-PRO" w:eastAsia="HG丸ｺﾞｼｯｸM-PRO" w:hAnsi="HG丸ｺﾞｼｯｸM-PRO"/>
        </w:rPr>
        <w:t>しかし、何をもって</w:t>
      </w:r>
      <w:r w:rsidRPr="005B71E8">
        <w:rPr>
          <w:rFonts w:ascii="HG丸ｺﾞｼｯｸM-PRO" w:eastAsia="HG丸ｺﾞｼｯｸM-PRO" w:hAnsi="HG丸ｺﾞｼｯｸM-PRO" w:hint="eastAsia"/>
        </w:rPr>
        <w:t>preciseなのかは分野によって異なる。</w:t>
      </w:r>
    </w:p>
    <w:p w14:paraId="48144114" w14:textId="77777777" w:rsidR="00794B2D" w:rsidRPr="008F0542" w:rsidRDefault="00794B2D" w:rsidP="00794B2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F0542">
        <w:rPr>
          <w:rFonts w:ascii="HG丸ｺﾞｼｯｸM-PRO" w:eastAsia="HG丸ｺﾞｼｯｸM-PRO" w:hAnsi="HG丸ｺﾞｼｯｸM-PRO"/>
          <w:shd w:val="pct15" w:color="auto" w:fill="FFFFFF"/>
        </w:rPr>
        <w:t xml:space="preserve">Different fields define and evaluate evidence differently.  If you’re a beginner, you’ll need time to learn the kinds of evidence that readers in your field accept and reject.  </w:t>
      </w:r>
      <w:r>
        <w:rPr>
          <w:rFonts w:ascii="HG丸ｺﾞｼｯｸM-PRO" w:eastAsia="HG丸ｺﾞｼｯｸM-PRO" w:hAnsi="HG丸ｺﾞｼｯｸM-PRO" w:hint="eastAsia"/>
        </w:rPr>
        <w:t>（p.115）</w:t>
      </w:r>
    </w:p>
    <w:p w14:paraId="4C1172E2" w14:textId="77777777" w:rsidR="00794B2D" w:rsidRPr="008F0542" w:rsidRDefault="00794B2D" w:rsidP="00794B2D">
      <w:pPr>
        <w:ind w:left="210" w:hangingChars="100" w:hanging="210"/>
        <w:rPr>
          <w:rFonts w:ascii="HG丸ｺﾞｼｯｸM-PRO" w:eastAsia="HG丸ｺﾞｼｯｸM-PRO" w:hAnsi="HG丸ｺﾞｼｯｸM-PRO"/>
        </w:rPr>
      </w:pPr>
      <w:r w:rsidRPr="008F0542">
        <w:rPr>
          <w:rFonts w:ascii="HG丸ｺﾞｼｯｸM-PRO" w:eastAsia="HG丸ｺﾞｼｯｸM-PRO" w:hAnsi="HG丸ｺﾞｼｯｸM-PRO"/>
        </w:rPr>
        <w:t>…</w:t>
      </w:r>
      <w:r w:rsidR="008F0542" w:rsidRPr="008F0542">
        <w:rPr>
          <w:rFonts w:ascii="HG丸ｺﾞｼｯｸM-PRO" w:eastAsia="HG丸ｺﾞｼｯｸM-PRO" w:hAnsi="HG丸ｺﾞｼｯｸM-PRO"/>
        </w:rPr>
        <w:t>違う分野</w:t>
      </w:r>
      <w:r w:rsidR="008F0542" w:rsidRPr="008F0542">
        <w:rPr>
          <w:rFonts w:ascii="HG丸ｺﾞｼｯｸM-PRO" w:eastAsia="HG丸ｺﾞｼｯｸM-PRO" w:hAnsi="HG丸ｺﾞｼｯｸM-PRO" w:hint="eastAsia"/>
        </w:rPr>
        <w:t>においては</w:t>
      </w:r>
      <w:r w:rsidR="008F0542" w:rsidRPr="008F0542">
        <w:rPr>
          <w:rFonts w:ascii="HG丸ｺﾞｼｯｸM-PRO" w:eastAsia="HG丸ｺﾞｼｯｸM-PRO" w:hAnsi="HG丸ｺﾞｼｯｸM-PRO"/>
        </w:rPr>
        <w:t>エビデンスの定義や評価も違っている。もし初心者であるならば、あなたの分野の読者が受け入れる、あるいは拒絶するエビデンスがどのようなものなのかを知る必要がある。</w:t>
      </w:r>
    </w:p>
    <w:p w14:paraId="5471210A" w14:textId="77777777" w:rsidR="00794B2D" w:rsidRDefault="00794B2D" w:rsidP="00794B2D">
      <w:pPr>
        <w:rPr>
          <w:rFonts w:ascii="HG丸ｺﾞｼｯｸM-PRO" w:eastAsia="HG丸ｺﾞｼｯｸM-PRO" w:hAnsi="HG丸ｺﾞｼｯｸM-PRO"/>
        </w:rPr>
      </w:pPr>
    </w:p>
    <w:p w14:paraId="130D6DC7" w14:textId="77777777" w:rsidR="00794B2D" w:rsidRDefault="00794B2D" w:rsidP="00794B2D">
      <w:pPr>
        <w:rPr>
          <w:rFonts w:ascii="HG丸ｺﾞｼｯｸM-PRO" w:eastAsia="HG丸ｺﾞｼｯｸM-PRO" w:hAnsi="HG丸ｺﾞｼｯｸM-PRO"/>
        </w:rPr>
      </w:pPr>
      <w:r>
        <w:rPr>
          <w:rFonts w:ascii="HG丸ｺﾞｼｯｸM-PRO" w:eastAsia="HG丸ｺﾞｼｯｸM-PRO" w:hAnsi="HG丸ｺﾞｼｯｸM-PRO"/>
        </w:rPr>
        <w:t>⇒</w:t>
      </w:r>
      <w:r w:rsidR="008F0542">
        <w:rPr>
          <w:rFonts w:ascii="HG丸ｺﾞｼｯｸM-PRO" w:eastAsia="HG丸ｺﾞｼｯｸM-PRO" w:hAnsi="HG丸ｺﾞｼｯｸM-PRO" w:hint="eastAsia"/>
        </w:rPr>
        <w:t>結局、自分の研究分野においてどのようなエビデンスが求められ、記述しなければならないのかということは多くの例や批判にあたって自分で見つけるしかない。</w:t>
      </w:r>
    </w:p>
    <w:p w14:paraId="0539296A" w14:textId="77777777" w:rsidR="008F0542" w:rsidRPr="00A35989" w:rsidRDefault="008F0542" w:rsidP="00794B2D">
      <w:pPr>
        <w:rPr>
          <w:rFonts w:ascii="HG丸ｺﾞｼｯｸM-PRO" w:eastAsia="HG丸ｺﾞｼｯｸM-PRO" w:hAnsi="HG丸ｺﾞｼｯｸM-PRO"/>
          <w:sz w:val="22"/>
        </w:rPr>
      </w:pPr>
    </w:p>
    <w:p w14:paraId="7CF66ADF" w14:textId="77777777" w:rsidR="00B64E6B" w:rsidRPr="0009310F" w:rsidRDefault="005B71E8" w:rsidP="000E4EA4">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09310F">
        <w:rPr>
          <w:rFonts w:ascii="HG丸ｺﾞｼｯｸM-PRO" w:eastAsia="HG丸ｺﾞｼｯｸM-PRO" w:hAnsi="HG丸ｺﾞｼｯｸM-PRO" w:hint="eastAsia"/>
          <w:sz w:val="22"/>
        </w:rPr>
        <w:t>◆では、実際に教育学の分野で書かれた論文を読み、その主張とエビデンスについて考えてみよう！</w:t>
      </w:r>
    </w:p>
    <w:p w14:paraId="146EE307" w14:textId="77777777" w:rsidR="000E4EA4" w:rsidRPr="0009310F" w:rsidRDefault="0009310F" w:rsidP="000E4EA4">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09310F">
        <w:rPr>
          <w:rFonts w:ascii="HG丸ｺﾞｼｯｸM-PRO" w:eastAsia="HG丸ｺﾞｼｯｸM-PRO" w:hAnsi="HG丸ｺﾞｼｯｸM-PRO" w:hint="eastAsia"/>
          <w:sz w:val="22"/>
        </w:rPr>
        <w:t>気付いたことや</w:t>
      </w:r>
      <w:r w:rsidR="000E4EA4" w:rsidRPr="0009310F">
        <w:rPr>
          <w:rFonts w:ascii="HG丸ｺﾞｼｯｸM-PRO" w:eastAsia="HG丸ｺﾞｼｯｸM-PRO" w:hAnsi="HG丸ｺﾞｼｯｸM-PRO" w:hint="eastAsia"/>
          <w:sz w:val="22"/>
        </w:rPr>
        <w:t>感じたことなどを話し合い、今後の研究を進めていく上での参考にしていきましょう！</w:t>
      </w:r>
    </w:p>
    <w:p w14:paraId="7D083A50" w14:textId="77777777" w:rsidR="000E4EA4" w:rsidRDefault="000E4EA4" w:rsidP="000E4EA4">
      <w:pPr>
        <w:tabs>
          <w:tab w:val="left" w:pos="8080"/>
        </w:tabs>
        <w:rPr>
          <w:rFonts w:ascii="HG丸ｺﾞｼｯｸM-PRO" w:eastAsia="HG丸ｺﾞｼｯｸM-PRO" w:hAnsi="HG丸ｺﾞｼｯｸM-PRO"/>
          <w:sz w:val="24"/>
          <w:szCs w:val="24"/>
        </w:rPr>
      </w:pPr>
    </w:p>
    <w:p w14:paraId="3FB206CC" w14:textId="77777777" w:rsidR="000E4EA4" w:rsidRPr="00A35989" w:rsidRDefault="000E4EA4" w:rsidP="000E4EA4">
      <w:pPr>
        <w:tabs>
          <w:tab w:val="left" w:pos="8080"/>
        </w:tabs>
        <w:rPr>
          <w:rFonts w:ascii="HG丸ｺﾞｼｯｸM-PRO" w:eastAsia="HG丸ｺﾞｼｯｸM-PRO" w:hAnsi="HG丸ｺﾞｼｯｸM-PRO"/>
          <w:szCs w:val="21"/>
        </w:rPr>
      </w:pPr>
      <w:r w:rsidRPr="00A35989">
        <w:rPr>
          <w:rFonts w:ascii="HG丸ｺﾞｼｯｸM-PRO" w:eastAsia="HG丸ｺﾞｼｯｸM-PRO" w:hAnsi="HG丸ｺﾞｼｯｸM-PRO" w:hint="eastAsia"/>
          <w:szCs w:val="21"/>
        </w:rPr>
        <w:t>扱う論文</w:t>
      </w:r>
    </w:p>
    <w:p w14:paraId="2BBBA424" w14:textId="77777777" w:rsidR="00A35989" w:rsidRDefault="00A35989" w:rsidP="000E4EA4">
      <w:pPr>
        <w:tabs>
          <w:tab w:val="left" w:pos="8080"/>
        </w:tabs>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09310F">
        <w:rPr>
          <w:rFonts w:ascii="HG丸ｺﾞｼｯｸM-PRO" w:eastAsia="HG丸ｺﾞｼｯｸM-PRO" w:hAnsi="HG丸ｺﾞｼｯｸM-PRO" w:hint="eastAsia"/>
          <w:szCs w:val="21"/>
        </w:rPr>
        <w:t>時代•明石要一</w:t>
      </w:r>
      <w:r>
        <w:rPr>
          <w:rFonts w:ascii="HG丸ｺﾞｼｯｸM-PRO" w:eastAsia="HG丸ｺﾞｼｯｸM-PRO" w:hAnsi="HG丸ｺﾞｼｯｸM-PRO" w:hint="eastAsia"/>
          <w:szCs w:val="21"/>
        </w:rPr>
        <w:t>「体験活動の効果及び評価のあり方に関する一考察：子どもの体験活動事例を追って」</w:t>
      </w:r>
      <w:r w:rsidR="0009310F">
        <w:rPr>
          <w:rFonts w:ascii="HG丸ｺﾞｼｯｸM-PRO" w:eastAsia="HG丸ｺﾞｼｯｸM-PRO" w:hAnsi="HG丸ｺﾞｼｯｸM-PRO" w:hint="eastAsia"/>
          <w:szCs w:val="21"/>
        </w:rPr>
        <w:t>『千葉大学教育学部研究紀要』</w:t>
      </w:r>
      <w:r w:rsidR="0009310F">
        <w:rPr>
          <w:rFonts w:ascii="HG丸ｺﾞｼｯｸM-PRO" w:eastAsia="HG丸ｺﾞｼｯｸM-PRO" w:hAnsi="HG丸ｺﾞｼｯｸM-PRO"/>
          <w:szCs w:val="21"/>
        </w:rPr>
        <w:t>59, 2011, pp.167-173</w:t>
      </w:r>
    </w:p>
    <w:p w14:paraId="5894BF5C" w14:textId="77777777" w:rsidR="00FE2A39" w:rsidRDefault="00FE2A39" w:rsidP="000E4EA4">
      <w:pPr>
        <w:tabs>
          <w:tab w:val="left" w:pos="8080"/>
        </w:tabs>
        <w:rPr>
          <w:rFonts w:ascii="HG丸ｺﾞｼｯｸM-PRO" w:eastAsia="HG丸ｺﾞｼｯｸM-PRO" w:hAnsi="HG丸ｺﾞｼｯｸM-PRO" w:hint="eastAsia"/>
          <w:szCs w:val="21"/>
        </w:rPr>
      </w:pPr>
      <w:r w:rsidRPr="00A35989">
        <w:rPr>
          <w:rFonts w:ascii="HG丸ｺﾞｼｯｸM-PRO" w:eastAsia="HG丸ｺﾞｼｯｸM-PRO" w:hAnsi="HG丸ｺﾞｼｯｸM-PRO" w:hint="eastAsia"/>
          <w:szCs w:val="21"/>
        </w:rPr>
        <w:t>•新川壯•濱田眞•山本佐江•有本昌弘「アセスメントを活用した学校改善：</w:t>
      </w:r>
      <w:r w:rsidRPr="00A35989">
        <w:rPr>
          <w:rFonts w:ascii="HG丸ｺﾞｼｯｸM-PRO" w:eastAsia="HG丸ｺﾞｼｯｸM-PRO" w:hAnsi="HG丸ｺﾞｼｯｸM-PRO"/>
          <w:szCs w:val="21"/>
        </w:rPr>
        <w:t>OECD</w:t>
      </w:r>
      <w:r w:rsidRPr="00A35989">
        <w:rPr>
          <w:rFonts w:ascii="HG丸ｺﾞｼｯｸM-PRO" w:eastAsia="HG丸ｺﾞｼｯｸM-PRO" w:hAnsi="HG丸ｺﾞｼｯｸM-PRO" w:hint="eastAsia"/>
          <w:szCs w:val="21"/>
        </w:rPr>
        <w:t>•</w:t>
      </w:r>
      <w:r w:rsidRPr="00A35989">
        <w:rPr>
          <w:rFonts w:ascii="HG丸ｺﾞｼｯｸM-PRO" w:eastAsia="HG丸ｺﾞｼｯｸM-PRO" w:hAnsi="HG丸ｺﾞｼｯｸM-PRO"/>
          <w:szCs w:val="21"/>
        </w:rPr>
        <w:t>REAFISO</w:t>
      </w:r>
      <w:r w:rsidRPr="00A35989">
        <w:rPr>
          <w:rFonts w:ascii="HG丸ｺﾞｼｯｸM-PRO" w:eastAsia="HG丸ｺﾞｼｯｸM-PRO" w:hAnsi="HG丸ｺﾞｼｯｸM-PRO" w:hint="eastAsia"/>
          <w:szCs w:val="21"/>
        </w:rPr>
        <w:t>研究と日本的エバリュエーション•アセスメント」『東北大学大学院教育学研究科教育年報』</w:t>
      </w:r>
      <w:r w:rsidRPr="00A35989">
        <w:rPr>
          <w:rFonts w:ascii="HG丸ｺﾞｼｯｸM-PRO" w:eastAsia="HG丸ｺﾞｼｯｸM-PRO" w:hAnsi="HG丸ｺﾞｼｯｸM-PRO"/>
          <w:szCs w:val="21"/>
        </w:rPr>
        <w:t>62(1), 2013, pp.325-338</w:t>
      </w:r>
    </w:p>
    <w:p w14:paraId="5D7E14CC" w14:textId="77777777" w:rsidR="004642B7" w:rsidRDefault="004642B7" w:rsidP="004642B7">
      <w:pPr>
        <w:jc w:val="center"/>
        <w:rPr>
          <w:rFonts w:ascii="HG丸ｺﾞｼｯｸM-PRO" w:eastAsia="HG丸ｺﾞｼｯｸM-PRO" w:hAnsi="HG丸ｺﾞｼｯｸM-PRO"/>
        </w:rPr>
      </w:pPr>
      <w:r>
        <w:rPr>
          <w:rFonts w:ascii="HG丸ｺﾞｼｯｸM-PRO" w:eastAsia="HG丸ｺﾞｼｯｸM-PRO" w:hAnsi="HG丸ｺﾞｼｯｸM-PRO"/>
        </w:rPr>
        <w:lastRenderedPageBreak/>
        <w:t>体験活動の効果及び評価のあり方に関する一考察</w:t>
      </w:r>
    </w:p>
    <w:p w14:paraId="48F0B0EC" w14:textId="77777777" w:rsidR="004642B7" w:rsidRDefault="004642B7" w:rsidP="004642B7">
      <w:pPr>
        <w:jc w:val="center"/>
        <w:rPr>
          <w:rFonts w:ascii="HG丸ｺﾞｼｯｸM-PRO" w:eastAsia="HG丸ｺﾞｼｯｸM-PRO" w:hAnsi="HG丸ｺﾞｼｯｸM-PRO"/>
        </w:rPr>
      </w:pPr>
      <w:r w:rsidRPr="000A7741">
        <w:rPr>
          <w:rFonts w:ascii="HG丸ｺﾞｼｯｸM-PRO" w:eastAsia="HG丸ｺﾞｼｯｸM-PRO" w:hAnsi="HG丸ｺﾞｼｯｸM-PRO"/>
        </w:rPr>
        <w:t>―子どもの体験活動の事例を追って―</w:t>
      </w:r>
    </w:p>
    <w:p w14:paraId="54C02D44" w14:textId="77777777" w:rsidR="004642B7" w:rsidRPr="000A7741" w:rsidRDefault="004642B7" w:rsidP="004642B7">
      <w:pPr>
        <w:rPr>
          <w:rFonts w:ascii="HG丸ｺﾞｼｯｸM-PRO" w:eastAsia="HG丸ｺﾞｼｯｸM-PRO" w:hAnsi="HG丸ｺﾞｼｯｸM-PRO"/>
        </w:rPr>
      </w:pPr>
    </w:p>
    <w:p w14:paraId="6B957A3E" w14:textId="77777777" w:rsidR="004642B7" w:rsidRPr="004C0ED7" w:rsidRDefault="004642B7" w:rsidP="004642B7">
      <w:pPr>
        <w:rPr>
          <w:rFonts w:ascii="HG丸ｺﾞｼｯｸM-PRO" w:eastAsia="HG丸ｺﾞｼｯｸM-PRO" w:hAnsi="HG丸ｺﾞｼｯｸM-PRO"/>
        </w:rPr>
      </w:pPr>
      <w:r w:rsidRPr="004C0ED7">
        <w:rPr>
          <w:rFonts w:ascii="HG丸ｺﾞｼｯｸM-PRO" w:eastAsia="HG丸ｺﾞｼｯｸM-PRO" w:hAnsi="HG丸ｺﾞｼｯｸM-PRO" w:hint="eastAsia"/>
        </w:rPr>
        <w:t>（主張）「</w:t>
      </w:r>
      <w:r>
        <w:rPr>
          <w:rFonts w:ascii="HG丸ｺﾞｼｯｸM-PRO" w:eastAsia="HG丸ｺﾞｼｯｸM-PRO" w:hAnsi="HG丸ｺﾞｼｯｸM-PRO" w:hint="eastAsia"/>
        </w:rPr>
        <w:t>(体験学習が)</w:t>
      </w:r>
      <w:r w:rsidRPr="004C0ED7">
        <w:rPr>
          <w:rFonts w:ascii="HG丸ｺﾞｼｯｸM-PRO" w:eastAsia="HG丸ｺﾞｼｯｸM-PRO" w:hAnsi="HG丸ｺﾞｼｯｸM-PRO" w:hint="eastAsia"/>
        </w:rPr>
        <w:t>学級のあり方にもいい影響を与えることは認められた」(p.172)</w:t>
      </w:r>
    </w:p>
    <w:p w14:paraId="607F95FB" w14:textId="77777777" w:rsidR="004642B7" w:rsidRPr="004C0ED7" w:rsidRDefault="004642B7" w:rsidP="004642B7">
      <w:pPr>
        <w:ind w:left="850" w:hangingChars="405" w:hanging="850"/>
        <w:rPr>
          <w:rFonts w:ascii="HG丸ｺﾞｼｯｸM-PRO" w:eastAsia="HG丸ｺﾞｼｯｸM-PRO" w:hAnsi="HG丸ｺﾞｼｯｸM-PRO"/>
        </w:rPr>
      </w:pPr>
      <w:r w:rsidRPr="004C0ED7">
        <w:rPr>
          <w:rFonts w:ascii="HG丸ｺﾞｼｯｸM-PRO" w:eastAsia="HG丸ｺﾞｼｯｸM-PRO" w:hAnsi="HG丸ｺﾞｼｯｸM-PRO" w:hint="eastAsia"/>
        </w:rPr>
        <w:t>（理由）「子どもが「非日常」から「日常」に戻っても、「チームとして学級」という凝集性が高まり、生徒間あるいは教員と生徒間に「一緒に過ごし、一緒に頑張った」という連帯感が増えた」(p.172)</w:t>
      </w:r>
    </w:p>
    <w:p w14:paraId="19A9A8F6" w14:textId="77777777" w:rsidR="004642B7" w:rsidRDefault="004642B7" w:rsidP="004642B7">
      <w:pPr>
        <w:rPr>
          <w:rFonts w:ascii="HG丸ｺﾞｼｯｸM-PRO" w:eastAsia="HG丸ｺﾞｼｯｸM-PRO" w:hAnsi="HG丸ｺﾞｼｯｸM-PRO"/>
        </w:rPr>
      </w:pPr>
      <w:r w:rsidRPr="004C0ED7">
        <w:rPr>
          <w:rFonts w:ascii="HG丸ｺﾞｼｯｸM-PRO" w:eastAsia="HG丸ｺﾞｼｯｸM-PRO" w:hAnsi="HG丸ｺﾞｼｯｸM-PRO" w:hint="eastAsia"/>
        </w:rPr>
        <w:t>（エビデンス）学級調査の結果(p.168，p.170)</w:t>
      </w:r>
    </w:p>
    <w:p w14:paraId="1CC392A0" w14:textId="77777777" w:rsidR="004642B7" w:rsidRPr="004C0ED7" w:rsidRDefault="004642B7" w:rsidP="004642B7">
      <w:pPr>
        <w:rPr>
          <w:rFonts w:ascii="HG丸ｺﾞｼｯｸM-PRO" w:eastAsia="HG丸ｺﾞｼｯｸM-PRO" w:hAnsi="HG丸ｺﾞｼｯｸM-PRO"/>
        </w:rPr>
      </w:pPr>
    </w:p>
    <w:p w14:paraId="15DCD2E1" w14:textId="77777777" w:rsidR="004642B7" w:rsidRPr="00B15E5B" w:rsidRDefault="004642B7" w:rsidP="004642B7">
      <w:pPr>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◆学級調査とは？(p.168)</w:t>
      </w:r>
    </w:p>
    <w:p w14:paraId="5392B18B" w14:textId="77777777" w:rsidR="004642B7" w:rsidRPr="00B15E5B" w:rsidRDefault="004642B7" w:rsidP="004642B7">
      <w:pPr>
        <w:ind w:firstLineChars="67" w:firstLine="134"/>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学級の様子を把握し、生徒指導と学級経営に活用される、廣部が開発した「学級調査」の20項目</w:t>
      </w:r>
    </w:p>
    <w:p w14:paraId="3DB1F6FD" w14:textId="77777777" w:rsidR="004642B7" w:rsidRPr="00B15E5B" w:rsidRDefault="004642B7" w:rsidP="004642B7">
      <w:pPr>
        <w:ind w:firstLineChars="67" w:firstLine="134"/>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調査対象は、１学年１クラスの学校(小規模校)の５年生、20名の子ども(男子：5名、女子15名)だが、うち、2名は未回答のため結果から除外</w:t>
      </w:r>
    </w:p>
    <w:p w14:paraId="6F5D2B6A" w14:textId="77777777" w:rsidR="004642B7" w:rsidRPr="00B15E5B" w:rsidRDefault="004642B7" w:rsidP="004642B7">
      <w:pPr>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◆調査結果(p.170)</w:t>
      </w:r>
    </w:p>
    <w:p w14:paraId="645763BD" w14:textId="77777777" w:rsidR="004642B7" w:rsidRPr="00B15E5B" w:rsidRDefault="004642B7" w:rsidP="004642B7">
      <w:pPr>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・図表６　14番生徒の「学級調査」得点の変化</w:t>
      </w:r>
    </w:p>
    <w:tbl>
      <w:tblPr>
        <w:tblStyle w:val="a4"/>
        <w:tblW w:w="0" w:type="auto"/>
        <w:tblLook w:val="04A0" w:firstRow="1" w:lastRow="0" w:firstColumn="1" w:lastColumn="0" w:noHBand="0" w:noVBand="1"/>
      </w:tblPr>
      <w:tblGrid>
        <w:gridCol w:w="567"/>
        <w:gridCol w:w="4219"/>
        <w:gridCol w:w="850"/>
        <w:gridCol w:w="851"/>
      </w:tblGrid>
      <w:tr w:rsidR="004642B7" w:rsidRPr="00FA3826" w14:paraId="0AB13AE4" w14:textId="77777777" w:rsidTr="00016345">
        <w:trPr>
          <w:trHeight w:val="305"/>
        </w:trPr>
        <w:tc>
          <w:tcPr>
            <w:tcW w:w="4786" w:type="dxa"/>
            <w:gridSpan w:val="2"/>
            <w:vAlign w:val="center"/>
          </w:tcPr>
          <w:p w14:paraId="079A2899"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項目</w:t>
            </w:r>
          </w:p>
        </w:tc>
        <w:tc>
          <w:tcPr>
            <w:tcW w:w="850" w:type="dxa"/>
            <w:vAlign w:val="center"/>
          </w:tcPr>
          <w:p w14:paraId="40142E61"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事前</w:t>
            </w:r>
          </w:p>
        </w:tc>
        <w:tc>
          <w:tcPr>
            <w:tcW w:w="851" w:type="dxa"/>
            <w:vAlign w:val="center"/>
          </w:tcPr>
          <w:p w14:paraId="61440CF0"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事後</w:t>
            </w:r>
          </w:p>
        </w:tc>
      </w:tr>
      <w:tr w:rsidR="004642B7" w:rsidRPr="00FA3826" w14:paraId="141F020D" w14:textId="77777777" w:rsidTr="00016345">
        <w:tc>
          <w:tcPr>
            <w:tcW w:w="567" w:type="dxa"/>
            <w:vAlign w:val="center"/>
          </w:tcPr>
          <w:p w14:paraId="4C2CFF4A"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4219" w:type="dxa"/>
          </w:tcPr>
          <w:p w14:paraId="754A9824"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時間を守って行動ができる</w:t>
            </w:r>
          </w:p>
        </w:tc>
        <w:tc>
          <w:tcPr>
            <w:tcW w:w="850" w:type="dxa"/>
            <w:vAlign w:val="center"/>
          </w:tcPr>
          <w:p w14:paraId="49BB8A40"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3AB385C1"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796479FF" w14:textId="77777777" w:rsidTr="00016345">
        <w:tc>
          <w:tcPr>
            <w:tcW w:w="567" w:type="dxa"/>
            <w:vAlign w:val="center"/>
          </w:tcPr>
          <w:p w14:paraId="049E646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２</w:t>
            </w:r>
          </w:p>
        </w:tc>
        <w:tc>
          <w:tcPr>
            <w:tcW w:w="4219" w:type="dxa"/>
          </w:tcPr>
          <w:p w14:paraId="4B7E4EF5"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明るく楽しい雰囲気がある</w:t>
            </w:r>
          </w:p>
        </w:tc>
        <w:tc>
          <w:tcPr>
            <w:tcW w:w="850" w:type="dxa"/>
            <w:vAlign w:val="center"/>
          </w:tcPr>
          <w:p w14:paraId="47A7E5CB"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0F277FF4"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7AAFF09A" w14:textId="77777777" w:rsidTr="00016345">
        <w:tc>
          <w:tcPr>
            <w:tcW w:w="567" w:type="dxa"/>
            <w:vAlign w:val="center"/>
          </w:tcPr>
          <w:p w14:paraId="1EA91AFC"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３</w:t>
            </w:r>
          </w:p>
        </w:tc>
        <w:tc>
          <w:tcPr>
            <w:tcW w:w="4219" w:type="dxa"/>
          </w:tcPr>
          <w:p w14:paraId="587CE606"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教科委員や係の仕事が行われる</w:t>
            </w:r>
          </w:p>
        </w:tc>
        <w:tc>
          <w:tcPr>
            <w:tcW w:w="850" w:type="dxa"/>
            <w:vAlign w:val="center"/>
          </w:tcPr>
          <w:p w14:paraId="4A91620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466A64F5"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6B14C97C" w14:textId="77777777" w:rsidTr="00016345">
        <w:tc>
          <w:tcPr>
            <w:tcW w:w="567" w:type="dxa"/>
            <w:shd w:val="clear" w:color="auto" w:fill="D9D9D9" w:themeFill="background1" w:themeFillShade="D9"/>
            <w:vAlign w:val="center"/>
          </w:tcPr>
          <w:p w14:paraId="4AAE4FD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４</w:t>
            </w:r>
          </w:p>
        </w:tc>
        <w:tc>
          <w:tcPr>
            <w:tcW w:w="4219" w:type="dxa"/>
            <w:shd w:val="clear" w:color="auto" w:fill="D9D9D9" w:themeFill="background1" w:themeFillShade="D9"/>
          </w:tcPr>
          <w:p w14:paraId="1C39A361"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協力し合う雰囲気がある</w:t>
            </w:r>
          </w:p>
        </w:tc>
        <w:tc>
          <w:tcPr>
            <w:tcW w:w="850" w:type="dxa"/>
            <w:shd w:val="clear" w:color="auto" w:fill="D9D9D9" w:themeFill="background1" w:themeFillShade="D9"/>
            <w:vAlign w:val="center"/>
          </w:tcPr>
          <w:p w14:paraId="6A3D838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shd w:val="clear" w:color="auto" w:fill="D9D9D9" w:themeFill="background1" w:themeFillShade="D9"/>
            <w:vAlign w:val="center"/>
          </w:tcPr>
          <w:p w14:paraId="54EB89DD"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1367FB66" w14:textId="77777777" w:rsidTr="00016345">
        <w:tc>
          <w:tcPr>
            <w:tcW w:w="567" w:type="dxa"/>
            <w:vAlign w:val="center"/>
          </w:tcPr>
          <w:p w14:paraId="178290F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５</w:t>
            </w:r>
          </w:p>
        </w:tc>
        <w:tc>
          <w:tcPr>
            <w:tcW w:w="4219" w:type="dxa"/>
          </w:tcPr>
          <w:p w14:paraId="06FFEB09"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授業中に落ち着く雰囲気</w:t>
            </w:r>
          </w:p>
        </w:tc>
        <w:tc>
          <w:tcPr>
            <w:tcW w:w="850" w:type="dxa"/>
            <w:vAlign w:val="center"/>
          </w:tcPr>
          <w:p w14:paraId="22E87E8E"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4C4BCF99"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7F1F80C5" w14:textId="77777777" w:rsidTr="00016345">
        <w:tc>
          <w:tcPr>
            <w:tcW w:w="567" w:type="dxa"/>
            <w:vAlign w:val="center"/>
          </w:tcPr>
          <w:p w14:paraId="1724313A"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６</w:t>
            </w:r>
          </w:p>
        </w:tc>
        <w:tc>
          <w:tcPr>
            <w:tcW w:w="4219" w:type="dxa"/>
          </w:tcPr>
          <w:p w14:paraId="6281483F"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議長を中心に話し合える</w:t>
            </w:r>
          </w:p>
        </w:tc>
        <w:tc>
          <w:tcPr>
            <w:tcW w:w="850" w:type="dxa"/>
            <w:vAlign w:val="center"/>
          </w:tcPr>
          <w:p w14:paraId="14BD9259"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47A424AB"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5B981482" w14:textId="77777777" w:rsidTr="00016345">
        <w:tc>
          <w:tcPr>
            <w:tcW w:w="567" w:type="dxa"/>
            <w:vAlign w:val="center"/>
          </w:tcPr>
          <w:p w14:paraId="769BFECC"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７</w:t>
            </w:r>
          </w:p>
        </w:tc>
        <w:tc>
          <w:tcPr>
            <w:tcW w:w="4219" w:type="dxa"/>
          </w:tcPr>
          <w:p w14:paraId="598AD46A"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挨拶ができている</w:t>
            </w:r>
          </w:p>
        </w:tc>
        <w:tc>
          <w:tcPr>
            <w:tcW w:w="850" w:type="dxa"/>
            <w:vAlign w:val="center"/>
          </w:tcPr>
          <w:p w14:paraId="3E03CD89"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２</w:t>
            </w:r>
          </w:p>
        </w:tc>
        <w:tc>
          <w:tcPr>
            <w:tcW w:w="851" w:type="dxa"/>
            <w:vAlign w:val="center"/>
          </w:tcPr>
          <w:p w14:paraId="32F0D13E"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0F27B811" w14:textId="77777777" w:rsidTr="00016345">
        <w:tc>
          <w:tcPr>
            <w:tcW w:w="567" w:type="dxa"/>
            <w:vAlign w:val="center"/>
          </w:tcPr>
          <w:p w14:paraId="7457A90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８</w:t>
            </w:r>
          </w:p>
        </w:tc>
        <w:tc>
          <w:tcPr>
            <w:tcW w:w="4219" w:type="dxa"/>
          </w:tcPr>
          <w:p w14:paraId="61FC374D"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いじめ・暴力に悩む人がいない</w:t>
            </w:r>
          </w:p>
        </w:tc>
        <w:tc>
          <w:tcPr>
            <w:tcW w:w="850" w:type="dxa"/>
            <w:vAlign w:val="center"/>
          </w:tcPr>
          <w:p w14:paraId="23E26302"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3EFD1BFE"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4DA47075" w14:textId="77777777" w:rsidTr="00016345">
        <w:tc>
          <w:tcPr>
            <w:tcW w:w="567" w:type="dxa"/>
            <w:vAlign w:val="center"/>
          </w:tcPr>
          <w:p w14:paraId="01CD210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９</w:t>
            </w:r>
          </w:p>
        </w:tc>
        <w:tc>
          <w:tcPr>
            <w:tcW w:w="4219" w:type="dxa"/>
          </w:tcPr>
          <w:p w14:paraId="3578832D"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男女の区別なく話ができる</w:t>
            </w:r>
          </w:p>
        </w:tc>
        <w:tc>
          <w:tcPr>
            <w:tcW w:w="850" w:type="dxa"/>
            <w:vAlign w:val="center"/>
          </w:tcPr>
          <w:p w14:paraId="6B4D1E54"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08916A37"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61F05023" w14:textId="77777777" w:rsidTr="00016345">
        <w:tc>
          <w:tcPr>
            <w:tcW w:w="567" w:type="dxa"/>
            <w:vAlign w:val="center"/>
          </w:tcPr>
          <w:p w14:paraId="387B2659"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10</w:t>
            </w:r>
          </w:p>
        </w:tc>
        <w:tc>
          <w:tcPr>
            <w:tcW w:w="4219" w:type="dxa"/>
          </w:tcPr>
          <w:p w14:paraId="677B091C"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友達が分からないことを教えてくれる</w:t>
            </w:r>
          </w:p>
        </w:tc>
        <w:tc>
          <w:tcPr>
            <w:tcW w:w="850" w:type="dxa"/>
            <w:vAlign w:val="center"/>
          </w:tcPr>
          <w:p w14:paraId="76195CC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２</w:t>
            </w:r>
          </w:p>
        </w:tc>
        <w:tc>
          <w:tcPr>
            <w:tcW w:w="851" w:type="dxa"/>
            <w:vAlign w:val="center"/>
          </w:tcPr>
          <w:p w14:paraId="4608FD75"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27870F7D" w14:textId="77777777" w:rsidTr="00016345">
        <w:tc>
          <w:tcPr>
            <w:tcW w:w="567" w:type="dxa"/>
            <w:vAlign w:val="center"/>
          </w:tcPr>
          <w:p w14:paraId="5B3F385D"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11</w:t>
            </w:r>
          </w:p>
        </w:tc>
        <w:tc>
          <w:tcPr>
            <w:tcW w:w="4219" w:type="dxa"/>
          </w:tcPr>
          <w:p w14:paraId="236225F9"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清掃の分担が果たしている</w:t>
            </w:r>
          </w:p>
        </w:tc>
        <w:tc>
          <w:tcPr>
            <w:tcW w:w="850" w:type="dxa"/>
            <w:vAlign w:val="center"/>
          </w:tcPr>
          <w:p w14:paraId="0757814D"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43081128"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10CCFA54" w14:textId="77777777" w:rsidTr="00016345">
        <w:tc>
          <w:tcPr>
            <w:tcW w:w="567" w:type="dxa"/>
            <w:vAlign w:val="center"/>
          </w:tcPr>
          <w:p w14:paraId="0369EDBB"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12</w:t>
            </w:r>
          </w:p>
        </w:tc>
        <w:tc>
          <w:tcPr>
            <w:tcW w:w="4219" w:type="dxa"/>
          </w:tcPr>
          <w:p w14:paraId="11D1BEB5"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担任と気軽に話せる</w:t>
            </w:r>
          </w:p>
        </w:tc>
        <w:tc>
          <w:tcPr>
            <w:tcW w:w="850" w:type="dxa"/>
            <w:vAlign w:val="center"/>
          </w:tcPr>
          <w:p w14:paraId="368DD9D4"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7AEA7D11"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093A7301" w14:textId="77777777" w:rsidTr="00016345">
        <w:tc>
          <w:tcPr>
            <w:tcW w:w="567" w:type="dxa"/>
            <w:shd w:val="clear" w:color="auto" w:fill="D9D9D9" w:themeFill="background1" w:themeFillShade="D9"/>
            <w:vAlign w:val="center"/>
          </w:tcPr>
          <w:p w14:paraId="22AC1374"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13</w:t>
            </w:r>
          </w:p>
        </w:tc>
        <w:tc>
          <w:tcPr>
            <w:tcW w:w="4219" w:type="dxa"/>
            <w:shd w:val="clear" w:color="auto" w:fill="D9D9D9" w:themeFill="background1" w:themeFillShade="D9"/>
          </w:tcPr>
          <w:p w14:paraId="3E72FFB0"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行事をチームで取り込める</w:t>
            </w:r>
          </w:p>
        </w:tc>
        <w:tc>
          <w:tcPr>
            <w:tcW w:w="850" w:type="dxa"/>
            <w:shd w:val="clear" w:color="auto" w:fill="D9D9D9" w:themeFill="background1" w:themeFillShade="D9"/>
            <w:vAlign w:val="center"/>
          </w:tcPr>
          <w:p w14:paraId="5CC7E5C4"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shd w:val="clear" w:color="auto" w:fill="D9D9D9" w:themeFill="background1" w:themeFillShade="D9"/>
            <w:vAlign w:val="center"/>
          </w:tcPr>
          <w:p w14:paraId="7BC68071"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1BF09906" w14:textId="77777777" w:rsidTr="00016345">
        <w:tc>
          <w:tcPr>
            <w:tcW w:w="567" w:type="dxa"/>
            <w:shd w:val="clear" w:color="auto" w:fill="D9D9D9" w:themeFill="background1" w:themeFillShade="D9"/>
            <w:vAlign w:val="center"/>
          </w:tcPr>
          <w:p w14:paraId="225A9BE5"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14</w:t>
            </w:r>
          </w:p>
        </w:tc>
        <w:tc>
          <w:tcPr>
            <w:tcW w:w="4219" w:type="dxa"/>
            <w:shd w:val="clear" w:color="auto" w:fill="D9D9D9" w:themeFill="background1" w:themeFillShade="D9"/>
          </w:tcPr>
          <w:p w14:paraId="091B7251"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みんな「〇小の生活」を守ることを心がける</w:t>
            </w:r>
          </w:p>
        </w:tc>
        <w:tc>
          <w:tcPr>
            <w:tcW w:w="850" w:type="dxa"/>
            <w:shd w:val="clear" w:color="auto" w:fill="D9D9D9" w:themeFill="background1" w:themeFillShade="D9"/>
            <w:vAlign w:val="center"/>
          </w:tcPr>
          <w:p w14:paraId="7CFD43E5"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shd w:val="clear" w:color="auto" w:fill="D9D9D9" w:themeFill="background1" w:themeFillShade="D9"/>
            <w:vAlign w:val="center"/>
          </w:tcPr>
          <w:p w14:paraId="1B22AA6B"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6DC3BDFB" w14:textId="77777777" w:rsidTr="00016345">
        <w:tc>
          <w:tcPr>
            <w:tcW w:w="567" w:type="dxa"/>
            <w:vAlign w:val="center"/>
          </w:tcPr>
          <w:p w14:paraId="782B3FF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15</w:t>
            </w:r>
          </w:p>
        </w:tc>
        <w:tc>
          <w:tcPr>
            <w:tcW w:w="4219" w:type="dxa"/>
          </w:tcPr>
          <w:p w14:paraId="2E41B6D5"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みんな温かく接してくれて不安がない</w:t>
            </w:r>
          </w:p>
        </w:tc>
        <w:tc>
          <w:tcPr>
            <w:tcW w:w="850" w:type="dxa"/>
            <w:vAlign w:val="center"/>
          </w:tcPr>
          <w:p w14:paraId="2A0FC39A"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39CFA398"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131DABDC" w14:textId="77777777" w:rsidTr="00016345">
        <w:tc>
          <w:tcPr>
            <w:tcW w:w="567" w:type="dxa"/>
            <w:vAlign w:val="center"/>
          </w:tcPr>
          <w:p w14:paraId="095C3621"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16</w:t>
            </w:r>
          </w:p>
        </w:tc>
        <w:tc>
          <w:tcPr>
            <w:tcW w:w="4219" w:type="dxa"/>
          </w:tcPr>
          <w:p w14:paraId="319551DA"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学習に前向きに取り組める</w:t>
            </w:r>
          </w:p>
        </w:tc>
        <w:tc>
          <w:tcPr>
            <w:tcW w:w="850" w:type="dxa"/>
            <w:vAlign w:val="center"/>
          </w:tcPr>
          <w:p w14:paraId="4871E512"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c>
          <w:tcPr>
            <w:tcW w:w="851" w:type="dxa"/>
            <w:vAlign w:val="center"/>
          </w:tcPr>
          <w:p w14:paraId="546DCB50"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0D6EC762" w14:textId="77777777" w:rsidTr="00016345">
        <w:tc>
          <w:tcPr>
            <w:tcW w:w="567" w:type="dxa"/>
            <w:shd w:val="clear" w:color="auto" w:fill="D9D9D9" w:themeFill="background1" w:themeFillShade="D9"/>
            <w:vAlign w:val="center"/>
          </w:tcPr>
          <w:p w14:paraId="7456CAB2"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17</w:t>
            </w:r>
          </w:p>
        </w:tc>
        <w:tc>
          <w:tcPr>
            <w:tcW w:w="4219" w:type="dxa"/>
            <w:shd w:val="clear" w:color="auto" w:fill="D9D9D9" w:themeFill="background1" w:themeFillShade="D9"/>
          </w:tcPr>
          <w:p w14:paraId="40AAFC36"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移動・着替えにテキパキ行動できる</w:t>
            </w:r>
          </w:p>
        </w:tc>
        <w:tc>
          <w:tcPr>
            <w:tcW w:w="850" w:type="dxa"/>
            <w:shd w:val="clear" w:color="auto" w:fill="D9D9D9" w:themeFill="background1" w:themeFillShade="D9"/>
            <w:vAlign w:val="center"/>
          </w:tcPr>
          <w:p w14:paraId="7A9A6CAB"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shd w:val="clear" w:color="auto" w:fill="D9D9D9" w:themeFill="background1" w:themeFillShade="D9"/>
            <w:vAlign w:val="center"/>
          </w:tcPr>
          <w:p w14:paraId="1147E026"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5E2F33EE" w14:textId="77777777" w:rsidTr="00016345">
        <w:trPr>
          <w:trHeight w:val="379"/>
        </w:trPr>
        <w:tc>
          <w:tcPr>
            <w:tcW w:w="567" w:type="dxa"/>
            <w:vAlign w:val="center"/>
          </w:tcPr>
          <w:p w14:paraId="6DE3A934"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18</w:t>
            </w:r>
          </w:p>
        </w:tc>
        <w:tc>
          <w:tcPr>
            <w:tcW w:w="4219" w:type="dxa"/>
          </w:tcPr>
          <w:p w14:paraId="51DF2F58"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教室の美化に心がける</w:t>
            </w:r>
          </w:p>
        </w:tc>
        <w:tc>
          <w:tcPr>
            <w:tcW w:w="850" w:type="dxa"/>
            <w:vAlign w:val="center"/>
          </w:tcPr>
          <w:p w14:paraId="7A281BC1"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c>
          <w:tcPr>
            <w:tcW w:w="851" w:type="dxa"/>
            <w:vAlign w:val="center"/>
          </w:tcPr>
          <w:p w14:paraId="6FBDC4AE"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r w:rsidR="004642B7" w:rsidRPr="00FA3826" w14:paraId="3A63CDD5" w14:textId="77777777" w:rsidTr="00016345">
        <w:tc>
          <w:tcPr>
            <w:tcW w:w="567" w:type="dxa"/>
            <w:vAlign w:val="center"/>
          </w:tcPr>
          <w:p w14:paraId="53E820E1"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19</w:t>
            </w:r>
          </w:p>
        </w:tc>
        <w:tc>
          <w:tcPr>
            <w:tcW w:w="4219" w:type="dxa"/>
          </w:tcPr>
          <w:p w14:paraId="0B423567"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リーダーを支える雰囲気がある</w:t>
            </w:r>
          </w:p>
        </w:tc>
        <w:tc>
          <w:tcPr>
            <w:tcW w:w="850" w:type="dxa"/>
            <w:vAlign w:val="center"/>
          </w:tcPr>
          <w:p w14:paraId="060765D9"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c>
          <w:tcPr>
            <w:tcW w:w="851" w:type="dxa"/>
            <w:vAlign w:val="center"/>
          </w:tcPr>
          <w:p w14:paraId="64DAD680"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０</w:t>
            </w:r>
          </w:p>
        </w:tc>
      </w:tr>
      <w:tr w:rsidR="004642B7" w:rsidRPr="00FA3826" w14:paraId="5F769A31" w14:textId="77777777" w:rsidTr="00016345">
        <w:tc>
          <w:tcPr>
            <w:tcW w:w="567" w:type="dxa"/>
            <w:vAlign w:val="center"/>
          </w:tcPr>
          <w:p w14:paraId="21DC3C59"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20</w:t>
            </w:r>
          </w:p>
        </w:tc>
        <w:tc>
          <w:tcPr>
            <w:tcW w:w="4219" w:type="dxa"/>
          </w:tcPr>
          <w:p w14:paraId="1903DF40" w14:textId="77777777" w:rsidR="004642B7" w:rsidRPr="00FA3826" w:rsidRDefault="004642B7" w:rsidP="00016345">
            <w:pP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自分の悪い点を注意してくれる</w:t>
            </w:r>
          </w:p>
        </w:tc>
        <w:tc>
          <w:tcPr>
            <w:tcW w:w="850" w:type="dxa"/>
            <w:vAlign w:val="center"/>
          </w:tcPr>
          <w:p w14:paraId="44986793"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２</w:t>
            </w:r>
          </w:p>
        </w:tc>
        <w:tc>
          <w:tcPr>
            <w:tcW w:w="851" w:type="dxa"/>
            <w:vAlign w:val="center"/>
          </w:tcPr>
          <w:p w14:paraId="25CA5DA0" w14:textId="77777777" w:rsidR="004642B7" w:rsidRPr="00FA3826" w:rsidRDefault="004642B7" w:rsidP="00016345">
            <w:pPr>
              <w:jc w:val="center"/>
              <w:rPr>
                <w:rFonts w:ascii="HG丸ｺﾞｼｯｸM-PRO" w:eastAsia="HG丸ｺﾞｼｯｸM-PRO" w:hAnsi="HG丸ｺﾞｼｯｸM-PRO"/>
                <w:sz w:val="18"/>
                <w:szCs w:val="18"/>
              </w:rPr>
            </w:pPr>
            <w:r w:rsidRPr="00FA3826">
              <w:rPr>
                <w:rFonts w:ascii="HG丸ｺﾞｼｯｸM-PRO" w:eastAsia="HG丸ｺﾞｼｯｸM-PRO" w:hAnsi="HG丸ｺﾞｼｯｸM-PRO" w:hint="eastAsia"/>
                <w:sz w:val="18"/>
                <w:szCs w:val="18"/>
              </w:rPr>
              <w:t>１</w:t>
            </w:r>
          </w:p>
        </w:tc>
      </w:tr>
    </w:tbl>
    <w:p w14:paraId="6406262F" w14:textId="77777777" w:rsidR="004642B7" w:rsidRPr="00FA3826" w:rsidRDefault="004642B7" w:rsidP="004642B7">
      <w:pPr>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⇒実践前はマイナス評価が多いが、４・13・14・17でプラスに転じているため、「若干不満もあるが、学級に親近感が生れたと考えられる」(p.170)</w:t>
      </w:r>
    </w:p>
    <w:p w14:paraId="5AF3D7DA" w14:textId="77777777" w:rsidR="004642B7" w:rsidRPr="00B15E5B" w:rsidRDefault="004642B7" w:rsidP="004642B7">
      <w:pPr>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lastRenderedPageBreak/>
        <w:t>・図表５　子どもの「学級調査」得点の変化</w:t>
      </w:r>
    </w:p>
    <w:p w14:paraId="57ACACEC" w14:textId="77777777" w:rsidR="004642B7" w:rsidRPr="00B15E5B" w:rsidRDefault="004642B7" w:rsidP="004642B7">
      <w:pPr>
        <w:ind w:firstLineChars="100" w:firstLine="200"/>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＊各項目で「良くできている」を２点、「ほとんどできていない」を―2点として得点化した。</w:t>
      </w:r>
    </w:p>
    <w:p w14:paraId="1672B4B3" w14:textId="77777777" w:rsidR="004642B7" w:rsidRPr="00B15E5B" w:rsidRDefault="004642B7" w:rsidP="004642B7">
      <w:pPr>
        <w:ind w:firstLineChars="100" w:firstLine="200"/>
        <w:rPr>
          <w:rFonts w:ascii="HG丸ｺﾞｼｯｸM-PRO" w:eastAsia="HG丸ｺﾞｼｯｸM-PRO" w:hAnsi="HG丸ｺﾞｼｯｸM-PRO"/>
          <w:sz w:val="20"/>
          <w:szCs w:val="20"/>
        </w:rPr>
      </w:pPr>
      <w:r w:rsidRPr="00B15E5B">
        <w:rPr>
          <w:rFonts w:ascii="HG丸ｺﾞｼｯｸM-PRO" w:eastAsia="HG丸ｺﾞｼｯｸM-PRO" w:hAnsi="HG丸ｺﾞｼｯｸM-PRO" w:hint="eastAsia"/>
          <w:sz w:val="20"/>
          <w:szCs w:val="20"/>
        </w:rPr>
        <w:t>＊横軸は子どもの番号で、縦軸は学級調査20項目得点の合計</w:t>
      </w:r>
    </w:p>
    <w:p w14:paraId="498AFE22" w14:textId="77777777" w:rsidR="004642B7" w:rsidRPr="00B15E5B" w:rsidRDefault="004642B7" w:rsidP="004642B7">
      <w:pPr>
        <w:rPr>
          <w:sz w:val="20"/>
          <w:szCs w:val="20"/>
        </w:rPr>
      </w:pPr>
      <w:r w:rsidRPr="00B15E5B">
        <w:rPr>
          <w:noProof/>
          <w:sz w:val="20"/>
          <w:szCs w:val="20"/>
        </w:rPr>
        <w:drawing>
          <wp:inline distT="0" distB="0" distL="0" distR="0" wp14:anchorId="00A93290" wp14:editId="760566EC">
            <wp:extent cx="5571461" cy="3189768"/>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44446A6" w14:textId="77777777" w:rsidR="004642B7" w:rsidRPr="00B15E5B" w:rsidRDefault="004642B7" w:rsidP="004642B7">
      <w:pPr>
        <w:rPr>
          <w:rFonts w:ascii="HG丸ｺﾞｼｯｸM-PRO" w:eastAsia="HG丸ｺﾞｼｯｸM-PRO" w:hAnsi="HG丸ｺﾞｼｯｸM-PRO"/>
          <w:sz w:val="20"/>
          <w:szCs w:val="20"/>
        </w:rPr>
      </w:pPr>
      <w:r w:rsidRPr="00B15E5B">
        <w:rPr>
          <w:rFonts w:ascii="HG丸ｺﾞｼｯｸM-PRO" w:eastAsia="HG丸ｺﾞｼｯｸM-PRO" w:hAnsi="HG丸ｺﾞｼｯｸM-PRO" w:cs="ＭＳ 明朝" w:hint="eastAsia"/>
          <w:sz w:val="20"/>
          <w:szCs w:val="20"/>
        </w:rPr>
        <w:t>⇒「全クラスの20名の子どもの多くは、実践前と比べ、体験活動後にクラスへの評価は高くなっている。その中で14番の生徒は事前のマイナス評価から事後のプラス評価へ転換したことに注目したい」(p.170)</w:t>
      </w:r>
      <w:r w:rsidRPr="00B15E5B">
        <w:rPr>
          <w:rFonts w:ascii="HG丸ｺﾞｼｯｸM-PRO" w:eastAsia="HG丸ｺﾞｼｯｸM-PRO" w:hAnsi="HG丸ｺﾞｼｯｸM-PRO"/>
          <w:sz w:val="20"/>
          <w:szCs w:val="20"/>
        </w:rPr>
        <w:t xml:space="preserve"> </w:t>
      </w:r>
    </w:p>
    <w:p w14:paraId="7A574882" w14:textId="77777777" w:rsidR="004642B7" w:rsidRDefault="004642B7" w:rsidP="000E4EA4">
      <w:pPr>
        <w:tabs>
          <w:tab w:val="left" w:pos="8080"/>
        </w:tabs>
        <w:rPr>
          <w:rFonts w:ascii="HG丸ｺﾞｼｯｸM-PRO" w:eastAsia="HG丸ｺﾞｼｯｸM-PRO" w:hAnsi="HG丸ｺﾞｼｯｸM-PRO"/>
          <w:szCs w:val="21"/>
        </w:rPr>
      </w:pPr>
    </w:p>
    <w:p w14:paraId="0185AD53" w14:textId="77777777" w:rsidR="004642B7" w:rsidRDefault="004642B7" w:rsidP="000E4EA4">
      <w:pPr>
        <w:tabs>
          <w:tab w:val="left" w:pos="8080"/>
        </w:tabs>
        <w:rPr>
          <w:rFonts w:ascii="HG丸ｺﾞｼｯｸM-PRO" w:eastAsia="HG丸ｺﾞｼｯｸM-PRO" w:hAnsi="HG丸ｺﾞｼｯｸM-PRO"/>
          <w:szCs w:val="21"/>
        </w:rPr>
      </w:pPr>
    </w:p>
    <w:p w14:paraId="0056F3A4" w14:textId="77777777" w:rsidR="004642B7" w:rsidRDefault="004642B7" w:rsidP="000E4EA4">
      <w:pPr>
        <w:tabs>
          <w:tab w:val="left" w:pos="8080"/>
        </w:tabs>
        <w:rPr>
          <w:rFonts w:ascii="HG丸ｺﾞｼｯｸM-PRO" w:eastAsia="HG丸ｺﾞｼｯｸM-PRO" w:hAnsi="HG丸ｺﾞｼｯｸM-PRO"/>
          <w:szCs w:val="21"/>
        </w:rPr>
      </w:pPr>
    </w:p>
    <w:p w14:paraId="22CD8DAF" w14:textId="77777777" w:rsidR="004642B7" w:rsidRDefault="004642B7" w:rsidP="000E4EA4">
      <w:pPr>
        <w:tabs>
          <w:tab w:val="left" w:pos="8080"/>
        </w:tabs>
        <w:rPr>
          <w:rFonts w:ascii="HG丸ｺﾞｼｯｸM-PRO" w:eastAsia="HG丸ｺﾞｼｯｸM-PRO" w:hAnsi="HG丸ｺﾞｼｯｸM-PRO"/>
          <w:szCs w:val="21"/>
        </w:rPr>
      </w:pPr>
    </w:p>
    <w:p w14:paraId="42C12CE7" w14:textId="77777777" w:rsidR="004642B7" w:rsidRDefault="004642B7" w:rsidP="000E4EA4">
      <w:pPr>
        <w:tabs>
          <w:tab w:val="left" w:pos="8080"/>
        </w:tabs>
        <w:rPr>
          <w:rFonts w:ascii="HG丸ｺﾞｼｯｸM-PRO" w:eastAsia="HG丸ｺﾞｼｯｸM-PRO" w:hAnsi="HG丸ｺﾞｼｯｸM-PRO" w:hint="eastAsia"/>
          <w:szCs w:val="21"/>
        </w:rPr>
      </w:pPr>
    </w:p>
    <w:p w14:paraId="07E48272" w14:textId="77777777" w:rsidR="00FE2A39" w:rsidRDefault="00FE2A39" w:rsidP="000E4EA4">
      <w:pPr>
        <w:tabs>
          <w:tab w:val="left" w:pos="8080"/>
        </w:tabs>
        <w:rPr>
          <w:rFonts w:ascii="HG丸ｺﾞｼｯｸM-PRO" w:eastAsia="HG丸ｺﾞｼｯｸM-PRO" w:hAnsi="HG丸ｺﾞｼｯｸM-PRO" w:hint="eastAsia"/>
          <w:szCs w:val="21"/>
        </w:rPr>
      </w:pPr>
      <w:bookmarkStart w:id="0" w:name="_GoBack"/>
      <w:bookmarkEnd w:id="0"/>
    </w:p>
    <w:p w14:paraId="646D11CC" w14:textId="77777777" w:rsidR="004642B7" w:rsidRDefault="004642B7" w:rsidP="000E4EA4">
      <w:pPr>
        <w:tabs>
          <w:tab w:val="left" w:pos="8080"/>
        </w:tabs>
        <w:rPr>
          <w:rFonts w:ascii="HG丸ｺﾞｼｯｸM-PRO" w:eastAsia="HG丸ｺﾞｼｯｸM-PRO" w:hAnsi="HG丸ｺﾞｼｯｸM-PRO"/>
          <w:szCs w:val="21"/>
        </w:rPr>
      </w:pPr>
    </w:p>
    <w:p w14:paraId="4750BCC4" w14:textId="77777777" w:rsidR="004642B7" w:rsidRDefault="004642B7" w:rsidP="000E4EA4">
      <w:pPr>
        <w:tabs>
          <w:tab w:val="left" w:pos="8080"/>
        </w:tabs>
        <w:rPr>
          <w:rFonts w:ascii="HG丸ｺﾞｼｯｸM-PRO" w:eastAsia="HG丸ｺﾞｼｯｸM-PRO" w:hAnsi="HG丸ｺﾞｼｯｸM-PRO"/>
          <w:szCs w:val="21"/>
        </w:rPr>
      </w:pPr>
    </w:p>
    <w:p w14:paraId="7F667621" w14:textId="77777777" w:rsidR="004642B7" w:rsidRDefault="004642B7" w:rsidP="000E4EA4">
      <w:pPr>
        <w:tabs>
          <w:tab w:val="left" w:pos="8080"/>
        </w:tabs>
        <w:rPr>
          <w:rFonts w:ascii="HG丸ｺﾞｼｯｸM-PRO" w:eastAsia="HG丸ｺﾞｼｯｸM-PRO" w:hAnsi="HG丸ｺﾞｼｯｸM-PRO"/>
          <w:szCs w:val="21"/>
        </w:rPr>
      </w:pPr>
    </w:p>
    <w:p w14:paraId="18CEC268" w14:textId="77777777" w:rsidR="004642B7" w:rsidRDefault="004642B7" w:rsidP="000E4EA4">
      <w:pPr>
        <w:tabs>
          <w:tab w:val="left" w:pos="8080"/>
        </w:tabs>
        <w:rPr>
          <w:rFonts w:ascii="HG丸ｺﾞｼｯｸM-PRO" w:eastAsia="HG丸ｺﾞｼｯｸM-PRO" w:hAnsi="HG丸ｺﾞｼｯｸM-PRO"/>
          <w:szCs w:val="21"/>
        </w:rPr>
      </w:pPr>
    </w:p>
    <w:p w14:paraId="4F04D158" w14:textId="77777777" w:rsidR="004642B7" w:rsidRDefault="004642B7" w:rsidP="000E4EA4">
      <w:pPr>
        <w:tabs>
          <w:tab w:val="left" w:pos="8080"/>
        </w:tabs>
        <w:rPr>
          <w:rFonts w:ascii="HG丸ｺﾞｼｯｸM-PRO" w:eastAsia="HG丸ｺﾞｼｯｸM-PRO" w:hAnsi="HG丸ｺﾞｼｯｸM-PRO"/>
          <w:szCs w:val="21"/>
        </w:rPr>
      </w:pPr>
    </w:p>
    <w:p w14:paraId="06DFF457" w14:textId="77777777" w:rsidR="004642B7" w:rsidRDefault="004642B7" w:rsidP="000E4EA4">
      <w:pPr>
        <w:tabs>
          <w:tab w:val="left" w:pos="8080"/>
        </w:tabs>
        <w:rPr>
          <w:rFonts w:ascii="HG丸ｺﾞｼｯｸM-PRO" w:eastAsia="HG丸ｺﾞｼｯｸM-PRO" w:hAnsi="HG丸ｺﾞｼｯｸM-PRO"/>
          <w:szCs w:val="21"/>
        </w:rPr>
      </w:pPr>
    </w:p>
    <w:p w14:paraId="58AD5923" w14:textId="77777777" w:rsidR="004642B7" w:rsidRDefault="004642B7" w:rsidP="000E4EA4">
      <w:pPr>
        <w:tabs>
          <w:tab w:val="left" w:pos="8080"/>
        </w:tabs>
        <w:rPr>
          <w:rFonts w:ascii="HG丸ｺﾞｼｯｸM-PRO" w:eastAsia="HG丸ｺﾞｼｯｸM-PRO" w:hAnsi="HG丸ｺﾞｼｯｸM-PRO"/>
          <w:szCs w:val="21"/>
        </w:rPr>
      </w:pPr>
    </w:p>
    <w:p w14:paraId="0D418203" w14:textId="77777777" w:rsidR="004642B7" w:rsidRDefault="004642B7" w:rsidP="000E4EA4">
      <w:pPr>
        <w:tabs>
          <w:tab w:val="left" w:pos="8080"/>
        </w:tabs>
        <w:rPr>
          <w:rFonts w:ascii="HG丸ｺﾞｼｯｸM-PRO" w:eastAsia="HG丸ｺﾞｼｯｸM-PRO" w:hAnsi="HG丸ｺﾞｼｯｸM-PRO"/>
          <w:szCs w:val="21"/>
        </w:rPr>
      </w:pPr>
    </w:p>
    <w:p w14:paraId="25256EF4" w14:textId="77777777" w:rsidR="004642B7" w:rsidRDefault="004642B7" w:rsidP="000E4EA4">
      <w:pPr>
        <w:tabs>
          <w:tab w:val="left" w:pos="8080"/>
        </w:tabs>
        <w:rPr>
          <w:rFonts w:ascii="HG丸ｺﾞｼｯｸM-PRO" w:eastAsia="HG丸ｺﾞｼｯｸM-PRO" w:hAnsi="HG丸ｺﾞｼｯｸM-PRO"/>
          <w:szCs w:val="21"/>
        </w:rPr>
      </w:pPr>
    </w:p>
    <w:p w14:paraId="281E5385" w14:textId="77777777" w:rsidR="004642B7" w:rsidRDefault="004642B7" w:rsidP="000E4EA4">
      <w:pPr>
        <w:tabs>
          <w:tab w:val="left" w:pos="8080"/>
        </w:tabs>
        <w:rPr>
          <w:rFonts w:ascii="HG丸ｺﾞｼｯｸM-PRO" w:eastAsia="HG丸ｺﾞｼｯｸM-PRO" w:hAnsi="HG丸ｺﾞｼｯｸM-PRO"/>
          <w:szCs w:val="21"/>
        </w:rPr>
      </w:pPr>
    </w:p>
    <w:p w14:paraId="2E76D6BB" w14:textId="77777777" w:rsidR="004642B7" w:rsidRDefault="004642B7" w:rsidP="000E4EA4">
      <w:pPr>
        <w:tabs>
          <w:tab w:val="left" w:pos="8080"/>
        </w:tabs>
        <w:rPr>
          <w:rFonts w:ascii="HG丸ｺﾞｼｯｸM-PRO" w:eastAsia="HG丸ｺﾞｼｯｸM-PRO" w:hAnsi="HG丸ｺﾞｼｯｸM-PRO"/>
          <w:szCs w:val="21"/>
        </w:rPr>
      </w:pPr>
    </w:p>
    <w:p w14:paraId="20188D5E" w14:textId="77777777" w:rsidR="004642B7" w:rsidRDefault="004642B7" w:rsidP="000E4EA4">
      <w:pPr>
        <w:tabs>
          <w:tab w:val="left" w:pos="8080"/>
        </w:tabs>
        <w:rPr>
          <w:rFonts w:ascii="HG丸ｺﾞｼｯｸM-PRO" w:eastAsia="HG丸ｺﾞｼｯｸM-PRO" w:hAnsi="HG丸ｺﾞｼｯｸM-PRO"/>
          <w:szCs w:val="21"/>
        </w:rPr>
      </w:pPr>
    </w:p>
    <w:p w14:paraId="68F402EC" w14:textId="77777777" w:rsidR="004642B7" w:rsidRDefault="004642B7" w:rsidP="000E4EA4">
      <w:pPr>
        <w:tabs>
          <w:tab w:val="left" w:pos="8080"/>
        </w:tabs>
        <w:rPr>
          <w:rFonts w:ascii="HG丸ｺﾞｼｯｸM-PRO" w:eastAsia="HG丸ｺﾞｼｯｸM-PRO" w:hAnsi="HG丸ｺﾞｼｯｸM-PRO" w:hint="eastAsia"/>
          <w:szCs w:val="21"/>
        </w:rPr>
      </w:pPr>
    </w:p>
    <w:p w14:paraId="74210547" w14:textId="77777777" w:rsidR="004642B7" w:rsidRDefault="004642B7" w:rsidP="004642B7">
      <w:pPr>
        <w:ind w:left="840" w:hangingChars="400" w:hanging="840"/>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アセスメントを活用した学校改善</w:t>
      </w:r>
    </w:p>
    <w:p w14:paraId="31D46410" w14:textId="77777777" w:rsidR="004642B7" w:rsidRDefault="004642B7" w:rsidP="004642B7">
      <w:pPr>
        <w:ind w:left="840" w:hangingChars="400" w:hanging="840"/>
        <w:jc w:val="center"/>
        <w:rPr>
          <w:rFonts w:ascii="HG丸ｺﾞｼｯｸM-PRO" w:eastAsia="HG丸ｺﾞｼｯｸM-PRO" w:hAnsi="HG丸ｺﾞｼｯｸM-PRO"/>
        </w:rPr>
      </w:pPr>
      <w:r>
        <w:rPr>
          <w:rFonts w:ascii="HG丸ｺﾞｼｯｸM-PRO" w:eastAsia="HG丸ｺﾞｼｯｸM-PRO" w:hAnsi="HG丸ｺﾞｼｯｸM-PRO" w:hint="eastAsia"/>
        </w:rPr>
        <w:t>-OECD・REAFISO研究と日本的エバリュエーション・アセスメント-</w:t>
      </w:r>
    </w:p>
    <w:p w14:paraId="3C0F899D" w14:textId="77777777" w:rsidR="004642B7" w:rsidRDefault="004642B7" w:rsidP="004642B7">
      <w:pPr>
        <w:ind w:left="840" w:hangingChars="400" w:hanging="840"/>
        <w:jc w:val="center"/>
        <w:rPr>
          <w:rFonts w:ascii="HG丸ｺﾞｼｯｸM-PRO" w:eastAsia="HG丸ｺﾞｼｯｸM-PRO" w:hAnsi="HG丸ｺﾞｼｯｸM-PRO"/>
        </w:rPr>
      </w:pPr>
    </w:p>
    <w:p w14:paraId="3B1F10AC" w14:textId="77777777" w:rsidR="004642B7" w:rsidRDefault="004642B7" w:rsidP="004642B7">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（主張）日本独自のエバリュエーションとアセスメントの在り方はREAFISOにおける矛盾</w:t>
      </w:r>
      <w:r w:rsidRPr="00363267">
        <w:rPr>
          <w:rFonts w:ascii="HG丸ｺﾞｼｯｸM-PRO" w:eastAsia="HG丸ｺﾞｼｯｸM-PRO" w:hAnsi="HG丸ｺﾞｼｯｸM-PRO" w:hint="eastAsia"/>
          <w:vertAlign w:val="superscript"/>
        </w:rPr>
        <w:t>*</w:t>
      </w:r>
      <w:r>
        <w:rPr>
          <w:rFonts w:ascii="HG丸ｺﾞｼｯｸM-PRO" w:eastAsia="HG丸ｺﾞｼｯｸM-PRO" w:hAnsi="HG丸ｺﾞｼｯｸM-PRO" w:hint="eastAsia"/>
        </w:rPr>
        <w:t>を乗り越える一つの手段である(p325)</w:t>
      </w:r>
    </w:p>
    <w:p w14:paraId="31CF58A6" w14:textId="77777777" w:rsidR="004642B7" w:rsidRDefault="004642B7" w:rsidP="004642B7">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（理由）なぜなら秋田県での取り組みは、</w:t>
      </w:r>
      <w:r w:rsidRPr="00E1655E">
        <w:rPr>
          <w:rFonts w:ascii="HG丸ｺﾞｼｯｸM-PRO" w:eastAsia="HG丸ｺﾞｼｯｸM-PRO" w:hAnsi="HG丸ｺﾞｼｯｸM-PRO" w:hint="eastAsia"/>
        </w:rPr>
        <w:t>大規模アセスメント自体を分析対象にして実践現場に対する知見を生み出そうとする</w:t>
      </w:r>
      <w:r>
        <w:rPr>
          <w:rFonts w:ascii="HG丸ｺﾞｼｯｸM-PRO" w:eastAsia="HG丸ｺﾞｼｯｸM-PRO" w:hAnsi="HG丸ｺﾞｼｯｸM-PRO" w:hint="eastAsia"/>
        </w:rPr>
        <w:t>のではなく、全国学力調査のような大規模アセスメントに対して、独自の分析、活用を行いながら、学校評価や教員評価も盛り込んだ、包括的なカリキュラム改善・学校改善に取り組むものであり、成功しているからだ(p327)</w:t>
      </w:r>
    </w:p>
    <w:p w14:paraId="7A889AB0" w14:textId="77777777" w:rsidR="004642B7" w:rsidRDefault="004642B7" w:rsidP="004642B7">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（エビデンス）</w:t>
      </w:r>
    </w:p>
    <w:p w14:paraId="65A34F97" w14:textId="77777777" w:rsidR="004642B7" w:rsidRDefault="004642B7" w:rsidP="004642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・秋田県で重要視されてきたのは「一人一人の子どものためにどう活用すべきか」教育現場としてどのように「活用責任」を果たしていくかにある(by学校長,p327)</w:t>
      </w:r>
    </w:p>
    <w:p w14:paraId="45314539" w14:textId="77777777" w:rsidR="004642B7" w:rsidRDefault="004642B7" w:rsidP="004642B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→学校教育課題である以下の3点の実践例</w:t>
      </w:r>
    </w:p>
    <w:p w14:paraId="0E396EBB" w14:textId="77777777" w:rsidR="004642B7" w:rsidRDefault="004642B7" w:rsidP="004642B7">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①「学力」の基盤となる「生活・学習習慣」の改善</w:t>
      </w:r>
    </w:p>
    <w:p w14:paraId="4C59B94D" w14:textId="77777777" w:rsidR="004642B7" w:rsidRDefault="004642B7" w:rsidP="004642B7">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②「知識」と「活用」が一体となった学力の育成</w:t>
      </w:r>
    </w:p>
    <w:p w14:paraId="29268FBF" w14:textId="77777777" w:rsidR="004642B7" w:rsidRPr="00AE1816" w:rsidRDefault="004642B7" w:rsidP="004642B7">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③「学校」と「家庭」が一体となった教育の推進</w:t>
      </w:r>
    </w:p>
    <w:p w14:paraId="476564E2" w14:textId="77777777" w:rsidR="004642B7" w:rsidRDefault="004642B7" w:rsidP="004642B7">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・たとえば①の場合</w:t>
      </w:r>
    </w:p>
    <w:p w14:paraId="17DC0B6B" w14:textId="77777777" w:rsidR="004642B7" w:rsidRDefault="004642B7" w:rsidP="004642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学校での活動は、課題別クループによるインタビューや質問紙調査が1年生の段階から実施されており、…最終的に各自の目標策定に結実させるという、段階的な発展性が担保されている。また、これらの活動は教科を横断して実施されており、このことが後述する教科の枠を超えた知識活用力の育成にも繋がっている」(p330)</w:t>
      </w:r>
    </w:p>
    <w:p w14:paraId="6FAECF20" w14:textId="77777777" w:rsidR="004642B7" w:rsidRPr="00FB1B17" w:rsidRDefault="004642B7" w:rsidP="004642B7">
      <w:pPr>
        <w:ind w:left="210" w:hangingChars="100" w:hanging="210"/>
        <w:rPr>
          <w:rFonts w:ascii="HG丸ｺﾞｼｯｸM-PRO" w:eastAsia="HG丸ｺﾞｼｯｸM-PRO" w:hAnsi="HG丸ｺﾞｼｯｸM-PRO"/>
        </w:rPr>
      </w:pPr>
    </w:p>
    <w:p w14:paraId="204CF4DD" w14:textId="77777777" w:rsidR="004642B7" w:rsidRDefault="004642B7" w:rsidP="004642B7">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※REAFISOにおける矛盾</w:t>
      </w:r>
    </w:p>
    <w:p w14:paraId="435A8E0A" w14:textId="77777777" w:rsidR="004642B7" w:rsidRPr="003A1427" w:rsidRDefault="004642B7" w:rsidP="004642B7">
      <w:pPr>
        <w:ind w:left="1470" w:hangingChars="700" w:hanging="1470"/>
        <w:rPr>
          <w:rFonts w:ascii="HG丸ｺﾞｼｯｸM-PRO" w:eastAsia="HG丸ｺﾞｼｯｸM-PRO" w:hAnsi="HG丸ｺﾞｼｯｸM-PRO"/>
          <w:bdr w:val="single" w:sz="4" w:space="0" w:color="auto"/>
        </w:rPr>
      </w:pPr>
      <w:r w:rsidRPr="003A1427">
        <w:rPr>
          <w:rFonts w:ascii="HG丸ｺﾞｼｯｸM-PRO" w:eastAsia="HG丸ｺﾞｼｯｸM-PRO" w:hAnsi="HG丸ｺﾞｼｯｸM-PRO" w:hint="eastAsia"/>
          <w:bdr w:val="single" w:sz="4" w:space="0" w:color="auto"/>
        </w:rPr>
        <w:t>REAFISOのねらい</w:t>
      </w:r>
    </w:p>
    <w:p w14:paraId="0407E19D" w14:textId="77777777" w:rsidR="004642B7" w:rsidRDefault="004642B7" w:rsidP="004642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エバリュエーション・アセスメント政策が初等中等教育における生徒のアウトカムを改善するのにどのくらい機能するのか」について既存の研究を整理し、「包括的な政策課題に取り組む国々に分析や政策提案を与える」ために作られた研究レビュー</w:t>
      </w:r>
    </w:p>
    <w:p w14:paraId="3D66FE8E" w14:textId="77777777" w:rsidR="004642B7" w:rsidRDefault="004642B7" w:rsidP="004642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OECDはこのレビューを通じて「各国において学校で作られる生徒のアウトカムの改善目標がエバリュエーションアセスメントの枠組みとしてどのような要素を持っている」のか明らかにし、「各国のエバリュエーション・アセスメント政策に新たな価値を付加する」ことを目指している(p326)</w:t>
      </w:r>
    </w:p>
    <w:p w14:paraId="3340621B" w14:textId="77777777" w:rsidR="004642B7" w:rsidRPr="005E45DF" w:rsidRDefault="004642B7" w:rsidP="004642B7">
      <w:pPr>
        <w:rPr>
          <w:rFonts w:ascii="HG丸ｺﾞｼｯｸM-PRO" w:eastAsia="HG丸ｺﾞｼｯｸM-PRO" w:hAnsi="HG丸ｺﾞｼｯｸM-PRO"/>
          <w:bdr w:val="single" w:sz="4" w:space="0" w:color="auto"/>
        </w:rPr>
      </w:pPr>
      <w:r w:rsidRPr="005E45DF">
        <w:rPr>
          <w:rFonts w:ascii="HG丸ｺﾞｼｯｸM-PRO" w:eastAsia="HG丸ｺﾞｼｯｸM-PRO" w:hAnsi="HG丸ｺﾞｼｯｸM-PRO" w:hint="eastAsia"/>
          <w:bdr w:val="single" w:sz="4" w:space="0" w:color="auto"/>
        </w:rPr>
        <w:t>しかし</w:t>
      </w:r>
    </w:p>
    <w:p w14:paraId="48007B74" w14:textId="77777777" w:rsidR="004642B7" w:rsidRDefault="004642B7" w:rsidP="004642B7">
      <w:pPr>
        <w:rPr>
          <w:rFonts w:ascii="HG丸ｺﾞｼｯｸM-PRO" w:eastAsia="HG丸ｺﾞｼｯｸM-PRO" w:hAnsi="HG丸ｺﾞｼｯｸM-PRO"/>
        </w:rPr>
      </w:pPr>
      <w:r>
        <w:rPr>
          <w:rFonts w:ascii="HG丸ｺﾞｼｯｸM-PRO" w:eastAsia="HG丸ｺﾞｼｯｸM-PRO" w:hAnsi="HG丸ｺﾞｼｯｸM-PRO" w:hint="eastAsia"/>
        </w:rPr>
        <w:t>①アメリカの情報に依存している、②探すのに費用のかからない見つけやすい文章に依存している、③経済学者と教育学者の研究に依存している、④心理学やアセスメントや測定の専門家である社会科学の知見を無視している、⑤重要な研究の大部分を無視している、⑥REAFISOの研究がアメリカの(失敗した)急進的構造主義の立場に偏っている、⑦費用削減のため、特定の研究グループに研究委託され、インターネットを用いた適切で無い方法でデータを収集している</w:t>
      </w:r>
    </w:p>
    <w:p w14:paraId="558CDC38" w14:textId="77777777" w:rsidR="004642B7" w:rsidRPr="004642B7" w:rsidRDefault="004642B7" w:rsidP="004642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→大規模アセスメント自体を分析対象にして実践現場に対する知見を生み出そうとすることには大きな危険がある(pp326-327) </w:t>
      </w:r>
    </w:p>
    <w:sectPr w:rsidR="004642B7" w:rsidRPr="004642B7" w:rsidSect="00794B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2D"/>
    <w:rsid w:val="0009310F"/>
    <w:rsid w:val="000B1666"/>
    <w:rsid w:val="000E4EA4"/>
    <w:rsid w:val="00400E81"/>
    <w:rsid w:val="004642B7"/>
    <w:rsid w:val="005B71E8"/>
    <w:rsid w:val="00744C62"/>
    <w:rsid w:val="00794B2D"/>
    <w:rsid w:val="00817729"/>
    <w:rsid w:val="008F0542"/>
    <w:rsid w:val="00A24CE3"/>
    <w:rsid w:val="00A35989"/>
    <w:rsid w:val="00B64E6B"/>
    <w:rsid w:val="00D877C7"/>
    <w:rsid w:val="00FE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E8B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C62"/>
    <w:pPr>
      <w:ind w:leftChars="400" w:left="960"/>
    </w:pPr>
  </w:style>
  <w:style w:type="table" w:styleId="a4">
    <w:name w:val="Table Grid"/>
    <w:basedOn w:val="a1"/>
    <w:uiPriority w:val="59"/>
    <w:rsid w:val="00464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42B7"/>
    <w:rPr>
      <w:rFonts w:ascii="ヒラギノ角ゴ ProN W3" w:eastAsia="ヒラギノ角ゴ ProN W3"/>
      <w:sz w:val="18"/>
      <w:szCs w:val="18"/>
    </w:rPr>
  </w:style>
  <w:style w:type="character" w:customStyle="1" w:styleId="a6">
    <w:name w:val="吹き出し (文字)"/>
    <w:basedOn w:val="a0"/>
    <w:link w:val="a5"/>
    <w:uiPriority w:val="99"/>
    <w:semiHidden/>
    <w:rsid w:val="004642B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C62"/>
    <w:pPr>
      <w:ind w:leftChars="400" w:left="960"/>
    </w:pPr>
  </w:style>
  <w:style w:type="table" w:styleId="a4">
    <w:name w:val="Table Grid"/>
    <w:basedOn w:val="a1"/>
    <w:uiPriority w:val="59"/>
    <w:rsid w:val="00464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42B7"/>
    <w:rPr>
      <w:rFonts w:ascii="ヒラギノ角ゴ ProN W3" w:eastAsia="ヒラギノ角ゴ ProN W3"/>
      <w:sz w:val="18"/>
      <w:szCs w:val="18"/>
    </w:rPr>
  </w:style>
  <w:style w:type="character" w:customStyle="1" w:styleId="a6">
    <w:name w:val="吹き出し (文字)"/>
    <w:basedOn w:val="a0"/>
    <w:link w:val="a5"/>
    <w:uiPriority w:val="99"/>
    <w:semiHidden/>
    <w:rsid w:val="004642B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事前</c:v>
                </c:pt>
              </c:strCache>
            </c:strRef>
          </c:tx>
          <c:invertIfNegative val="0"/>
          <c:cat>
            <c:numRef>
              <c:f>Sheet1!$A$2:$A$21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cat>
          <c:val>
            <c:numRef>
              <c:f>Sheet1!$B$2:$B$21</c:f>
              <c:numCache>
                <c:formatCode>General</c:formatCode>
                <c:ptCount val="20"/>
                <c:pt idx="0">
                  <c:v>10.0</c:v>
                </c:pt>
                <c:pt idx="1">
                  <c:v>5.0</c:v>
                </c:pt>
                <c:pt idx="2">
                  <c:v>18.0</c:v>
                </c:pt>
                <c:pt idx="3">
                  <c:v>20.0</c:v>
                </c:pt>
                <c:pt idx="4">
                  <c:v>5.0</c:v>
                </c:pt>
                <c:pt idx="5">
                  <c:v>16.0</c:v>
                </c:pt>
                <c:pt idx="6">
                  <c:v>19.0</c:v>
                </c:pt>
                <c:pt idx="7">
                  <c:v>22.0</c:v>
                </c:pt>
                <c:pt idx="8">
                  <c:v>9.0</c:v>
                </c:pt>
                <c:pt idx="9">
                  <c:v>1.0</c:v>
                </c:pt>
                <c:pt idx="10">
                  <c:v>19.0</c:v>
                </c:pt>
                <c:pt idx="11">
                  <c:v>17.0</c:v>
                </c:pt>
                <c:pt idx="12">
                  <c:v>0.0</c:v>
                </c:pt>
                <c:pt idx="13">
                  <c:v>-3.0</c:v>
                </c:pt>
                <c:pt idx="14">
                  <c:v>17.0</c:v>
                </c:pt>
                <c:pt idx="15">
                  <c:v>15.0</c:v>
                </c:pt>
                <c:pt idx="16">
                  <c:v>-2.0</c:v>
                </c:pt>
                <c:pt idx="17">
                  <c:v>26.0</c:v>
                </c:pt>
                <c:pt idx="18">
                  <c:v>17.0</c:v>
                </c:pt>
                <c:pt idx="19">
                  <c:v>12.0</c:v>
                </c:pt>
              </c:numCache>
            </c:numRef>
          </c:val>
        </c:ser>
        <c:ser>
          <c:idx val="1"/>
          <c:order val="1"/>
          <c:tx>
            <c:strRef>
              <c:f>Sheet1!$C$1</c:f>
              <c:strCache>
                <c:ptCount val="1"/>
                <c:pt idx="0">
                  <c:v>事後</c:v>
                </c:pt>
              </c:strCache>
            </c:strRef>
          </c:tx>
          <c:invertIfNegative val="0"/>
          <c:cat>
            <c:numRef>
              <c:f>Sheet1!$A$2:$A$21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cat>
          <c:val>
            <c:numRef>
              <c:f>Sheet1!$C$2:$C$21</c:f>
              <c:numCache>
                <c:formatCode>General</c:formatCode>
                <c:ptCount val="20"/>
                <c:pt idx="0">
                  <c:v>0.0</c:v>
                </c:pt>
                <c:pt idx="1">
                  <c:v>10.0</c:v>
                </c:pt>
                <c:pt idx="2">
                  <c:v>19.0</c:v>
                </c:pt>
                <c:pt idx="3">
                  <c:v>22.0</c:v>
                </c:pt>
                <c:pt idx="4">
                  <c:v>9.0</c:v>
                </c:pt>
                <c:pt idx="5">
                  <c:v>10.0</c:v>
                </c:pt>
                <c:pt idx="6">
                  <c:v>28.0</c:v>
                </c:pt>
                <c:pt idx="7">
                  <c:v>20.0</c:v>
                </c:pt>
                <c:pt idx="8">
                  <c:v>27.0</c:v>
                </c:pt>
                <c:pt idx="9">
                  <c:v>6.0</c:v>
                </c:pt>
                <c:pt idx="10">
                  <c:v>15.0</c:v>
                </c:pt>
                <c:pt idx="11">
                  <c:v>1.0</c:v>
                </c:pt>
                <c:pt idx="12">
                  <c:v>8.0</c:v>
                </c:pt>
                <c:pt idx="13">
                  <c:v>6.0</c:v>
                </c:pt>
                <c:pt idx="14">
                  <c:v>37.0</c:v>
                </c:pt>
                <c:pt idx="15">
                  <c:v>28.0</c:v>
                </c:pt>
                <c:pt idx="16">
                  <c:v>4.0</c:v>
                </c:pt>
                <c:pt idx="17">
                  <c:v>5.0</c:v>
                </c:pt>
                <c:pt idx="18">
                  <c:v>10.0</c:v>
                </c:pt>
                <c:pt idx="19">
                  <c:v>17.0</c:v>
                </c:pt>
              </c:numCache>
            </c:numRef>
          </c:val>
        </c:ser>
        <c:dLbls>
          <c:showLegendKey val="0"/>
          <c:showVal val="0"/>
          <c:showCatName val="0"/>
          <c:showSerName val="0"/>
          <c:showPercent val="0"/>
          <c:showBubbleSize val="0"/>
        </c:dLbls>
        <c:gapWidth val="150"/>
        <c:axId val="2079002120"/>
        <c:axId val="2084448792"/>
      </c:barChart>
      <c:catAx>
        <c:axId val="2079002120"/>
        <c:scaling>
          <c:orientation val="minMax"/>
        </c:scaling>
        <c:delete val="0"/>
        <c:axPos val="b"/>
        <c:numFmt formatCode="General" sourceLinked="1"/>
        <c:majorTickMark val="out"/>
        <c:minorTickMark val="none"/>
        <c:tickLblPos val="nextTo"/>
        <c:txPr>
          <a:bodyPr/>
          <a:lstStyle/>
          <a:p>
            <a:pPr>
              <a:defRPr sz="900" b="1">
                <a:latin typeface="HG丸ｺﾞｼｯｸM-PRO" panose="020F0600000000000000" pitchFamily="50" charset="-128"/>
                <a:ea typeface="HG丸ｺﾞｼｯｸM-PRO" panose="020F0600000000000000" pitchFamily="50" charset="-128"/>
              </a:defRPr>
            </a:pPr>
            <a:endParaRPr lang="ja-JP"/>
          </a:p>
        </c:txPr>
        <c:crossAx val="2084448792"/>
        <c:crosses val="autoZero"/>
        <c:auto val="1"/>
        <c:lblAlgn val="ctr"/>
        <c:lblOffset val="100"/>
        <c:noMultiLvlLbl val="0"/>
      </c:catAx>
      <c:valAx>
        <c:axId val="2084448792"/>
        <c:scaling>
          <c:orientation val="minMax"/>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2079002120"/>
        <c:crosses val="autoZero"/>
        <c:crossBetween val="between"/>
      </c:valAx>
    </c:plotArea>
    <c:legend>
      <c:legendPos val="r"/>
      <c:layout>
        <c:manualLayout>
          <c:xMode val="edge"/>
          <c:yMode val="edge"/>
          <c:x val="0.903199183435404"/>
          <c:y val="0.383044134236153"/>
          <c:w val="0.0895833310443258"/>
          <c:h val="0.141342574190912"/>
        </c:manualLayout>
      </c:layout>
      <c:overlay val="0"/>
      <c:txPr>
        <a:bodyPr/>
        <a:lstStyle/>
        <a:p>
          <a:pPr>
            <a:defRPr sz="900" b="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4</Pages>
  <Words>514</Words>
  <Characters>2935</Characters>
  <Application>Microsoft Macintosh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Ogawa Yuka</cp:lastModifiedBy>
  <cp:revision>3</cp:revision>
  <dcterms:created xsi:type="dcterms:W3CDTF">2014-06-01T12:05:00Z</dcterms:created>
  <dcterms:modified xsi:type="dcterms:W3CDTF">2014-06-01T23:40:00Z</dcterms:modified>
</cp:coreProperties>
</file>